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821A44" w:rsidRPr="004B3821" w14:paraId="4ACFF564" w14:textId="77777777" w:rsidTr="00821A44">
        <w:tc>
          <w:tcPr>
            <w:tcW w:w="2265" w:type="dxa"/>
          </w:tcPr>
          <w:p w14:paraId="7828B72E" w14:textId="0CB119C4" w:rsidR="00821A44" w:rsidRPr="004B3821" w:rsidRDefault="00821A44" w:rsidP="00821A44">
            <w:pPr>
              <w:jc w:val="center"/>
            </w:pPr>
            <w:bookmarkStart w:id="0" w:name="_GoBack"/>
            <w:bookmarkEnd w:id="0"/>
            <w:r w:rsidRPr="004B3821">
              <w:rPr>
                <w:noProof/>
              </w:rPr>
              <w:drawing>
                <wp:inline distT="0" distB="0" distL="0" distR="0" wp14:anchorId="013628CF" wp14:editId="15C82DF2">
                  <wp:extent cx="741600" cy="900000"/>
                  <wp:effectExtent l="0" t="0" r="1905" b="0"/>
                  <wp:docPr id="15" name="Obrázok 15" descr="C:\Users\T410\Pictures\ZV SR vel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410\Pictures\ZV SR velk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00" cy="900000"/>
                          </a:xfrm>
                          <a:prstGeom prst="rect">
                            <a:avLst/>
                          </a:prstGeom>
                          <a:noFill/>
                          <a:ln>
                            <a:noFill/>
                          </a:ln>
                        </pic:spPr>
                      </pic:pic>
                    </a:graphicData>
                  </a:graphic>
                </wp:inline>
              </w:drawing>
            </w:r>
          </w:p>
        </w:tc>
        <w:tc>
          <w:tcPr>
            <w:tcW w:w="2265" w:type="dxa"/>
          </w:tcPr>
          <w:p w14:paraId="4D084863" w14:textId="6004CD57" w:rsidR="00821A44" w:rsidRPr="004B3821" w:rsidRDefault="00821A44" w:rsidP="00821A44">
            <w:pPr>
              <w:jc w:val="center"/>
            </w:pPr>
            <w:r w:rsidRPr="004B3821">
              <w:rPr>
                <w:noProof/>
              </w:rPr>
              <w:drawing>
                <wp:inline distT="0" distB="0" distL="0" distR="0" wp14:anchorId="334675EC" wp14:editId="32E5EF35">
                  <wp:extent cx="784800" cy="921600"/>
                  <wp:effectExtent l="0" t="0" r="0" b="0"/>
                  <wp:docPr id="122" name="Obrázo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61822"/>
                          <a:stretch/>
                        </pic:blipFill>
                        <pic:spPr bwMode="auto">
                          <a:xfrm>
                            <a:off x="0" y="0"/>
                            <a:ext cx="784800" cy="92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6" w:type="dxa"/>
          </w:tcPr>
          <w:p w14:paraId="51CDCE5D" w14:textId="3B59100F" w:rsidR="00821A44" w:rsidRPr="004B3821" w:rsidRDefault="00821A44" w:rsidP="00821A44">
            <w:pPr>
              <w:jc w:val="center"/>
            </w:pPr>
            <w:r w:rsidRPr="004B3821">
              <w:rPr>
                <w:noProof/>
              </w:rPr>
              <w:drawing>
                <wp:inline distT="0" distB="0" distL="0" distR="0" wp14:anchorId="62C9E6E4" wp14:editId="2F011D7A">
                  <wp:extent cx="900000" cy="900000"/>
                  <wp:effectExtent l="0" t="0" r="0" b="0"/>
                  <wp:docPr id="96" name="Obrázo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2266" w:type="dxa"/>
          </w:tcPr>
          <w:p w14:paraId="5F729BCD" w14:textId="11F7D2B6" w:rsidR="00821A44" w:rsidRPr="004B3821" w:rsidRDefault="001C7B1A" w:rsidP="00821A44">
            <w:pPr>
              <w:jc w:val="center"/>
            </w:pPr>
            <w:r>
              <w:rPr>
                <w:noProof/>
              </w:rPr>
              <w:drawing>
                <wp:inline distT="0" distB="0" distL="0" distR="0" wp14:anchorId="6B5B5161" wp14:editId="1D304578">
                  <wp:extent cx="900000" cy="892800"/>
                  <wp:effectExtent l="0" t="0" r="0" b="3175"/>
                  <wp:docPr id="29" name="Obrázok 29" descr="AB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10" t="9435" r="73942" b="12392"/>
                          <a:stretch/>
                        </pic:blipFill>
                        <pic:spPr bwMode="auto">
                          <a:xfrm>
                            <a:off x="0" y="0"/>
                            <a:ext cx="900000" cy="892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A6B428" w14:textId="1DC2B062" w:rsidR="007C2B20" w:rsidRPr="004B3821" w:rsidRDefault="007C2B20"/>
    <w:p w14:paraId="1CF392FB" w14:textId="77777777" w:rsidR="001C7B1A" w:rsidRDefault="001C7B1A" w:rsidP="003C27DB">
      <w:pPr>
        <w:spacing w:afterLines="20" w:after="48"/>
        <w:rPr>
          <w:b/>
          <w:i/>
          <w:sz w:val="28"/>
          <w:szCs w:val="28"/>
        </w:rPr>
      </w:pPr>
    </w:p>
    <w:p w14:paraId="79204702" w14:textId="4C6A16A5" w:rsidR="00821A44" w:rsidRPr="004B3821" w:rsidRDefault="00821A44" w:rsidP="00AB01AA">
      <w:pPr>
        <w:spacing w:afterLines="20" w:after="48"/>
        <w:ind w:firstLine="284"/>
        <w:jc w:val="center"/>
        <w:rPr>
          <w:b/>
          <w:i/>
          <w:sz w:val="28"/>
          <w:szCs w:val="28"/>
        </w:rPr>
      </w:pPr>
      <w:r w:rsidRPr="004B3821">
        <w:rPr>
          <w:b/>
          <w:i/>
          <w:sz w:val="28"/>
          <w:szCs w:val="28"/>
        </w:rPr>
        <w:t xml:space="preserve">STANOVISKO VOJENSKEJ A SPRAVODAJSKEJ KOMUNITY  </w:t>
      </w:r>
    </w:p>
    <w:p w14:paraId="66511441" w14:textId="27332BCE" w:rsidR="00821A44" w:rsidRDefault="00821A44" w:rsidP="00AB01AA">
      <w:pPr>
        <w:pBdr>
          <w:bottom w:val="single" w:sz="12" w:space="1" w:color="auto"/>
        </w:pBdr>
        <w:spacing w:afterLines="20" w:after="48"/>
        <w:ind w:firstLine="284"/>
        <w:jc w:val="center"/>
        <w:rPr>
          <w:b/>
          <w:bCs/>
          <w:sz w:val="28"/>
          <w:szCs w:val="28"/>
        </w:rPr>
      </w:pPr>
      <w:r w:rsidRPr="004B3821">
        <w:rPr>
          <w:b/>
          <w:i/>
          <w:sz w:val="28"/>
          <w:szCs w:val="28"/>
        </w:rPr>
        <w:t>k PT  č. 0516 - N</w:t>
      </w:r>
      <w:r w:rsidRPr="004B3821">
        <w:rPr>
          <w:b/>
          <w:sz w:val="28"/>
          <w:szCs w:val="28"/>
        </w:rPr>
        <w:t xml:space="preserve">ávrh zákona </w:t>
      </w:r>
      <w:r w:rsidRPr="004B3821">
        <w:rPr>
          <w:b/>
          <w:bCs/>
          <w:sz w:val="28"/>
          <w:szCs w:val="28"/>
        </w:rPr>
        <w:t>o odobratí nezaslúžených benefitov predstaviteľom komunistického režimu</w:t>
      </w:r>
    </w:p>
    <w:p w14:paraId="6F4887D6" w14:textId="77777777" w:rsidR="00821A44" w:rsidRPr="004B3821" w:rsidRDefault="00821A44" w:rsidP="00AB01AA">
      <w:pPr>
        <w:pStyle w:val="Bezriadkovania"/>
        <w:ind w:firstLine="284"/>
        <w:jc w:val="both"/>
        <w:rPr>
          <w:rFonts w:ascii="Times New Roman" w:hAnsi="Times New Roman"/>
          <w:sz w:val="24"/>
          <w:szCs w:val="24"/>
        </w:rPr>
      </w:pPr>
    </w:p>
    <w:p w14:paraId="7295BB55" w14:textId="7DBC886B" w:rsidR="0097133C" w:rsidRPr="001C7B1A" w:rsidRDefault="007F600C" w:rsidP="00AB01AA">
      <w:pPr>
        <w:pStyle w:val="Hlavika"/>
        <w:jc w:val="both"/>
        <w:rPr>
          <w:b/>
          <w:bCs/>
          <w:i/>
          <w:iCs/>
          <w:lang w:val="sk-SK"/>
        </w:rPr>
      </w:pPr>
      <w:r w:rsidRPr="004B3821">
        <w:rPr>
          <w:lang w:val="sk-SK"/>
        </w:rPr>
        <w:tab/>
        <w:t xml:space="preserve">     </w:t>
      </w:r>
      <w:r w:rsidRPr="004B3821">
        <w:rPr>
          <w:b/>
          <w:bCs/>
          <w:i/>
          <w:iCs/>
          <w:lang w:val="sk-SK"/>
        </w:rPr>
        <w:t>ZVÄZ VOJAKOV SLOVENSKEJ REPUBLIKY, KLUB GENERÁLOV SLOVENSKEJ REPUBLIKY</w:t>
      </w:r>
      <w:r w:rsidR="00677D03">
        <w:rPr>
          <w:b/>
          <w:bCs/>
          <w:i/>
          <w:iCs/>
          <w:lang w:val="sk-SK"/>
        </w:rPr>
        <w:t>, A</w:t>
      </w:r>
      <w:r w:rsidR="0097133C">
        <w:rPr>
          <w:b/>
          <w:bCs/>
          <w:i/>
          <w:iCs/>
          <w:lang w:val="sk-SK"/>
        </w:rPr>
        <w:t>SOCIÁCIA BÝVALÝCH SPRAVODAJSKÝCH DOSTOJNÍKOV</w:t>
      </w:r>
      <w:r w:rsidRPr="004B3821">
        <w:rPr>
          <w:b/>
          <w:bCs/>
          <w:i/>
          <w:iCs/>
          <w:lang w:val="sk-SK"/>
        </w:rPr>
        <w:t xml:space="preserve"> a</w:t>
      </w:r>
      <w:r w:rsidRPr="004B3821">
        <w:rPr>
          <w:b/>
          <w:bCs/>
          <w:i/>
          <w:iCs/>
        </w:rPr>
        <w:t> </w:t>
      </w:r>
      <w:r w:rsidRPr="004B3821">
        <w:rPr>
          <w:b/>
          <w:bCs/>
          <w:i/>
          <w:iCs/>
          <w:lang w:val="sk-SK"/>
        </w:rPr>
        <w:t xml:space="preserve">občianske združenie VETERANIS MILITUM NUNTIUM MUNERIS </w:t>
      </w:r>
      <w:r w:rsidR="00BC7B95" w:rsidRPr="004B3821">
        <w:rPr>
          <w:b/>
          <w:bCs/>
          <w:i/>
          <w:iCs/>
          <w:lang w:val="sk-SK"/>
        </w:rPr>
        <w:t xml:space="preserve">(Veteráni vojenskej </w:t>
      </w:r>
      <w:r w:rsidR="00E1585C" w:rsidRPr="004B3821">
        <w:rPr>
          <w:b/>
          <w:bCs/>
          <w:i/>
          <w:iCs/>
          <w:lang w:val="sk-SK"/>
        </w:rPr>
        <w:t>spravodajskej</w:t>
      </w:r>
      <w:r w:rsidR="00BC7B95" w:rsidRPr="004B3821">
        <w:rPr>
          <w:b/>
          <w:bCs/>
          <w:i/>
          <w:iCs/>
          <w:lang w:val="sk-SK"/>
        </w:rPr>
        <w:t xml:space="preserve"> služby)</w:t>
      </w:r>
      <w:r w:rsidRPr="004B3821">
        <w:rPr>
          <w:b/>
          <w:bCs/>
          <w:i/>
          <w:iCs/>
          <w:lang w:val="sk-SK"/>
        </w:rPr>
        <w:t xml:space="preserve"> </w:t>
      </w:r>
      <w:r w:rsidR="000D461F">
        <w:rPr>
          <w:b/>
          <w:bCs/>
          <w:i/>
          <w:iCs/>
          <w:lang w:val="sk-SK"/>
        </w:rPr>
        <w:t>a </w:t>
      </w:r>
      <w:r w:rsidR="000D461F" w:rsidRPr="001C7B1A">
        <w:rPr>
          <w:b/>
          <w:bCs/>
          <w:i/>
          <w:iCs/>
          <w:lang w:val="sk-SK"/>
        </w:rPr>
        <w:t>ďalšie spolupracujúce profesijné združenia</w:t>
      </w:r>
      <w:r w:rsidR="00677D03" w:rsidRPr="001C7B1A">
        <w:rPr>
          <w:b/>
          <w:bCs/>
          <w:i/>
          <w:iCs/>
          <w:lang w:val="sk-SK"/>
        </w:rPr>
        <w:t xml:space="preserve"> pokladajú za svoju povinnosť vyjadriť sa k snahám niektorých poslancov NR SR a vlády Slovenskej republiky doriešiť</w:t>
      </w:r>
      <w:r w:rsidR="0097133C" w:rsidRPr="001C7B1A">
        <w:rPr>
          <w:b/>
          <w:bCs/>
          <w:i/>
          <w:iCs/>
          <w:lang w:val="sk-SK"/>
        </w:rPr>
        <w:t xml:space="preserve"> otázky súvisiace s páchaním krívd minulým režimom</w:t>
      </w:r>
      <w:r w:rsidR="00BF47EA" w:rsidRPr="001C7B1A">
        <w:rPr>
          <w:b/>
          <w:bCs/>
          <w:i/>
          <w:iCs/>
          <w:lang w:val="sk-SK"/>
        </w:rPr>
        <w:t xml:space="preserve">. </w:t>
      </w:r>
      <w:r w:rsidR="001C7B1A">
        <w:rPr>
          <w:b/>
          <w:bCs/>
          <w:i/>
          <w:iCs/>
          <w:lang w:val="sk-SK"/>
        </w:rPr>
        <w:t>S</w:t>
      </w:r>
      <w:r w:rsidR="00BF47EA" w:rsidRPr="001C7B1A">
        <w:rPr>
          <w:b/>
          <w:bCs/>
          <w:i/>
          <w:iCs/>
          <w:lang w:val="sk-SK"/>
        </w:rPr>
        <w:t xml:space="preserve">tanovisko vojenskej komunity podporuje spoločné stanovisko </w:t>
      </w:r>
      <w:r w:rsidR="001C7B1A">
        <w:rPr>
          <w:b/>
          <w:bCs/>
          <w:i/>
          <w:iCs/>
          <w:lang w:val="sk-SK"/>
        </w:rPr>
        <w:t>APVV</w:t>
      </w:r>
      <w:r w:rsidR="00BF47EA" w:rsidRPr="001C7B1A">
        <w:rPr>
          <w:b/>
          <w:bCs/>
          <w:i/>
          <w:iCs/>
          <w:lang w:val="sk-SK"/>
        </w:rPr>
        <w:t xml:space="preserve">, </w:t>
      </w:r>
      <w:r w:rsidR="001C7B1A">
        <w:rPr>
          <w:b/>
          <w:bCs/>
          <w:i/>
          <w:iCs/>
          <w:lang w:val="sk-SK"/>
        </w:rPr>
        <w:t>ZV SR</w:t>
      </w:r>
      <w:r w:rsidR="00BF47EA" w:rsidRPr="001C7B1A">
        <w:rPr>
          <w:b/>
          <w:bCs/>
          <w:i/>
          <w:iCs/>
          <w:lang w:val="sk-SK"/>
        </w:rPr>
        <w:t>, Klubu generálov</w:t>
      </w:r>
      <w:r w:rsidR="001C7B1A">
        <w:rPr>
          <w:b/>
          <w:bCs/>
          <w:i/>
          <w:iCs/>
          <w:lang w:val="sk-SK"/>
        </w:rPr>
        <w:t xml:space="preserve"> SR</w:t>
      </w:r>
      <w:r w:rsidR="00BF47EA" w:rsidRPr="001C7B1A">
        <w:rPr>
          <w:b/>
          <w:bCs/>
          <w:i/>
          <w:iCs/>
          <w:lang w:val="sk-SK"/>
        </w:rPr>
        <w:t xml:space="preserve"> a ABSD  a bližšie špecifikuje problematiku vojenských bezpečnostných a spravodajských zložiek do roku 1992 a po vzniku samostatnej Slovenskej republiky.</w:t>
      </w:r>
      <w:r w:rsidR="00677D03" w:rsidRPr="001C7B1A">
        <w:rPr>
          <w:b/>
          <w:bCs/>
          <w:i/>
          <w:iCs/>
          <w:lang w:val="sk-SK"/>
        </w:rPr>
        <w:t xml:space="preserve"> </w:t>
      </w:r>
    </w:p>
    <w:p w14:paraId="4A75D1A3" w14:textId="77777777" w:rsidR="0097133C" w:rsidRPr="001C7B1A" w:rsidRDefault="0097133C" w:rsidP="00AB01AA">
      <w:pPr>
        <w:pStyle w:val="Hlavika"/>
        <w:jc w:val="both"/>
        <w:rPr>
          <w:b/>
          <w:bCs/>
          <w:i/>
          <w:iCs/>
          <w:lang w:val="sk-SK"/>
        </w:rPr>
      </w:pPr>
    </w:p>
    <w:p w14:paraId="4C901D18" w14:textId="36063B88" w:rsidR="00821A44" w:rsidRPr="004B3821" w:rsidRDefault="0097133C" w:rsidP="00AB01AA">
      <w:pPr>
        <w:pStyle w:val="Hlavika"/>
        <w:tabs>
          <w:tab w:val="clear" w:pos="4536"/>
          <w:tab w:val="center" w:pos="284"/>
        </w:tabs>
        <w:jc w:val="both"/>
      </w:pPr>
      <w:r w:rsidRPr="001C7B1A">
        <w:rPr>
          <w:b/>
          <w:bCs/>
          <w:i/>
          <w:iCs/>
          <w:lang w:val="sk-SK"/>
        </w:rPr>
        <w:tab/>
      </w:r>
      <w:r w:rsidRPr="001C7B1A">
        <w:rPr>
          <w:b/>
          <w:bCs/>
          <w:i/>
          <w:iCs/>
          <w:lang w:val="sk-SK"/>
        </w:rPr>
        <w:tab/>
      </w:r>
      <w:r w:rsidRPr="001C7B1A">
        <w:rPr>
          <w:bCs/>
          <w:iCs/>
          <w:lang w:val="sk-SK"/>
        </w:rPr>
        <w:t>Návrh</w:t>
      </w:r>
      <w:r w:rsidRPr="001C7B1A">
        <w:rPr>
          <w:b/>
          <w:bCs/>
          <w:iCs/>
          <w:lang w:val="sk-SK"/>
        </w:rPr>
        <w:t xml:space="preserve"> </w:t>
      </w:r>
      <w:r w:rsidR="00F323E8" w:rsidRPr="001C7B1A">
        <w:rPr>
          <w:lang w:val="sk-SK"/>
        </w:rPr>
        <w:t xml:space="preserve"> vyššie uvedeného zákona, </w:t>
      </w:r>
      <w:r w:rsidR="00821A44" w:rsidRPr="001C7B1A">
        <w:t xml:space="preserve">  prichádza  v dobe boja proti terorizmu, nárastu radikalizmu a extrémizmu a celkového zhoršovania vojensko-politickej situácie vo svete. Príslušníci </w:t>
      </w:r>
      <w:r w:rsidR="008D06AC" w:rsidRPr="001C7B1A">
        <w:rPr>
          <w:lang w:val="sk-SK"/>
        </w:rPr>
        <w:t>O</w:t>
      </w:r>
      <w:r w:rsidR="00BC7B95" w:rsidRPr="001C7B1A">
        <w:rPr>
          <w:lang w:val="sk-SK"/>
        </w:rPr>
        <w:t xml:space="preserve">zbrojených síl  SR a </w:t>
      </w:r>
      <w:r w:rsidR="00821A44" w:rsidRPr="001C7B1A">
        <w:t xml:space="preserve">bezpečnostných zložiek štátu </w:t>
      </w:r>
      <w:r w:rsidR="00677D03" w:rsidRPr="001C7B1A">
        <w:rPr>
          <w:lang w:val="sk-SK"/>
        </w:rPr>
        <w:t xml:space="preserve">boli a aj v súčasnej dobe </w:t>
      </w:r>
      <w:r w:rsidR="00821A44" w:rsidRPr="001C7B1A">
        <w:t>sú</w:t>
      </w:r>
      <w:r w:rsidR="00821A44" w:rsidRPr="004B3821">
        <w:t xml:space="preserve"> v prvej línií boja za zabezpečenie záujmov štátu, ochrany životov jeho obyvateľov a ich majetku.  Návrhom predmetného  zákona, okrem iného, je vyslaný negatívny signál právnej neistoty a retroaktivity profesionálnym vojakom, policajtom a ostatným príslušníkom, ktorí sú v súčasnej dobe zaradení v bezpečnostných a spravodajských zložkách štátu. </w:t>
      </w:r>
    </w:p>
    <w:p w14:paraId="4FB90167" w14:textId="77777777" w:rsidR="00821A44" w:rsidRPr="004B3821" w:rsidRDefault="00821A44" w:rsidP="00AB01AA">
      <w:pPr>
        <w:pStyle w:val="Normlnywebov"/>
        <w:spacing w:before="0" w:beforeAutospacing="0" w:after="0" w:afterAutospacing="0"/>
        <w:ind w:firstLine="284"/>
        <w:jc w:val="both"/>
      </w:pPr>
    </w:p>
    <w:p w14:paraId="0777A48A" w14:textId="2D8270DF" w:rsidR="00821A44" w:rsidRDefault="00821A44" w:rsidP="00AB01AA">
      <w:pPr>
        <w:pStyle w:val="Normlnywebov"/>
        <w:spacing w:before="0" w:beforeAutospacing="0" w:after="0" w:afterAutospacing="0"/>
        <w:ind w:firstLine="284"/>
        <w:jc w:val="both"/>
      </w:pPr>
      <w:r w:rsidRPr="004B3821">
        <w:t>Plne rešpektujeme rozhorčenie nad udalosťami a nepravosťami, ktoré sa udiali v 50-tych rokoch minulého storočia. Štátna bezpečnosť v niektorých prípadoch používala praktiky fyzického a psychického nátlaku. Po negatívnych skúsenostiach z prvej povojnovej dekády  ale najmä od 60-tych rokov minulého storočia sa takéto excesy neopakovali alebo sa vyskytli vo výnimočných prípadoch. V nadväznosti na udalosti z obdobia 50-tych rokov  je potrebné  odpovedať na zásadnú otázku. Koľkí z týchto bývalých príslušníkov ŠtB sú dodnes nažive a poberajú výsluhové dôchodky? Pravdepodobne nie je taký ani jeden, pretože po zverejnení výsledkov práce niekoľkých  komisii</w:t>
      </w:r>
      <w:r w:rsidRPr="004B3821">
        <w:rPr>
          <w:iCs/>
        </w:rPr>
        <w:t xml:space="preserve">, ktoré boli vládnucou garnitúrou zriadené v 50-tych a </w:t>
      </w:r>
      <w:r w:rsidRPr="004B3821">
        <w:t xml:space="preserve">  60-tych  rokoch boli</w:t>
      </w:r>
      <w:r w:rsidR="00971586">
        <w:t>,</w:t>
      </w:r>
      <w:r w:rsidRPr="004B3821">
        <w:t xml:space="preserve">  príslušníci ŠtB, ktorí sa podieľali na nepravostiach páchaných komunistickým režimom v 50-tych rokoch</w:t>
      </w:r>
      <w:r w:rsidR="00971586">
        <w:t xml:space="preserve">, </w:t>
      </w:r>
      <w:r w:rsidRPr="004B3821">
        <w:t xml:space="preserve">  už dávno prepustení zo služobného pomeru.</w:t>
      </w:r>
    </w:p>
    <w:p w14:paraId="039874FD" w14:textId="77777777" w:rsidR="000D461F" w:rsidRPr="004B3821" w:rsidRDefault="000D461F" w:rsidP="00AB01AA">
      <w:pPr>
        <w:pStyle w:val="Normlnywebov"/>
        <w:spacing w:before="0" w:beforeAutospacing="0" w:after="0" w:afterAutospacing="0"/>
        <w:ind w:firstLine="284"/>
        <w:jc w:val="both"/>
      </w:pPr>
    </w:p>
    <w:p w14:paraId="756F4D35" w14:textId="6B880DB6" w:rsidR="00821A44" w:rsidRDefault="00821A44" w:rsidP="00AB01AA">
      <w:pPr>
        <w:pStyle w:val="Normlnywebov"/>
        <w:spacing w:before="0" w:beforeAutospacing="0" w:after="0" w:afterAutospacing="0"/>
        <w:ind w:firstLine="284"/>
        <w:jc w:val="both"/>
      </w:pPr>
      <w:r w:rsidRPr="004B3821">
        <w:t>V tejto súvislosti je potrebné zdôrazniť že príslušníci vojenských spravodajských a bezpečnostných zložiek sa nepodieľali na plnení úloh, ktoré by viedli k </w:t>
      </w:r>
      <w:r w:rsidRPr="004B3821">
        <w:rPr>
          <w:sz w:val="22"/>
          <w:szCs w:val="22"/>
        </w:rPr>
        <w:t>potláčaniu základných ľudských práv a slob</w:t>
      </w:r>
      <w:r w:rsidR="00F323E8" w:rsidRPr="004B3821">
        <w:rPr>
          <w:sz w:val="22"/>
          <w:szCs w:val="22"/>
        </w:rPr>
        <w:t>ôd</w:t>
      </w:r>
      <w:r w:rsidRPr="004B3821">
        <w:rPr>
          <w:sz w:val="22"/>
          <w:szCs w:val="22"/>
        </w:rPr>
        <w:t xml:space="preserve"> občanov. Kategoricky odmietame obvinenia založené na princípe kolektívnej viny ako sú konkrétne straty na životoch, mučenie, utrpenie, bolesť, strach a nespravodlivosť</w:t>
      </w:r>
      <w:r w:rsidRPr="004B3821">
        <w:t xml:space="preserve">. </w:t>
      </w:r>
    </w:p>
    <w:p w14:paraId="0ACCBEEB" w14:textId="77777777" w:rsidR="000D461F" w:rsidRPr="004B3821" w:rsidRDefault="000D461F" w:rsidP="00AB01AA">
      <w:pPr>
        <w:pStyle w:val="Normlnywebov"/>
        <w:spacing w:before="0" w:beforeAutospacing="0" w:after="0" w:afterAutospacing="0"/>
        <w:ind w:firstLine="284"/>
        <w:jc w:val="both"/>
      </w:pPr>
    </w:p>
    <w:p w14:paraId="5DB43F2B" w14:textId="5D82F25B" w:rsidR="00821A44" w:rsidRDefault="00821A44" w:rsidP="00AB01AA">
      <w:pPr>
        <w:pStyle w:val="Normlnywebov"/>
        <w:spacing w:before="0" w:beforeAutospacing="0" w:after="0" w:afterAutospacing="0"/>
        <w:ind w:firstLine="284"/>
        <w:jc w:val="both"/>
      </w:pPr>
      <w:r w:rsidRPr="004B3821">
        <w:t>Miera osobnej zodpovednosti za činy  je na konkrétnom posúdení každého jednotlivého príslušníka spravodajskej a bezpečnostnej komunity a musia tak urobiť orgány, k tomu v štáte zriadené, a to sú súdy, na základe dôkladného prešetrenia daného skutku.</w:t>
      </w:r>
    </w:p>
    <w:p w14:paraId="6BC4E8E7" w14:textId="77777777" w:rsidR="000D461F" w:rsidRPr="004B3821" w:rsidRDefault="000D461F" w:rsidP="00AB01AA">
      <w:pPr>
        <w:pStyle w:val="Normlnywebov"/>
        <w:spacing w:before="0" w:beforeAutospacing="0" w:after="0" w:afterAutospacing="0"/>
        <w:ind w:firstLine="284"/>
        <w:jc w:val="both"/>
      </w:pPr>
    </w:p>
    <w:p w14:paraId="66E83520" w14:textId="77777777" w:rsidR="00821A44" w:rsidRPr="004B3821" w:rsidRDefault="00821A44" w:rsidP="00AB01AA">
      <w:pPr>
        <w:ind w:firstLine="284"/>
        <w:jc w:val="both"/>
      </w:pPr>
      <w:r w:rsidRPr="004B3821">
        <w:lastRenderedPageBreak/>
        <w:t>Okrem princípu kolektívnej viny je  návrh  predkladaného  zákona,  odtrhnutý od právneho a faktického vývoja v spravodajských a bezpečnostných zložkách armády Českej a Slovenskej federatívnej republiky po roku 1989 a po roku 1993 aj v armáde a polícii SR z nasledujúcich dôvodov:</w:t>
      </w:r>
    </w:p>
    <w:p w14:paraId="754B0B07" w14:textId="77777777" w:rsidR="00821A44" w:rsidRPr="004B3821" w:rsidRDefault="00821A44" w:rsidP="00AB01AA">
      <w:pPr>
        <w:pStyle w:val="Normlnywebov"/>
        <w:spacing w:before="0" w:beforeAutospacing="0" w:after="0" w:afterAutospacing="0"/>
        <w:ind w:firstLine="284"/>
        <w:jc w:val="both"/>
      </w:pPr>
    </w:p>
    <w:p w14:paraId="5AF2F5CA" w14:textId="0A3080D4" w:rsidR="00821A44" w:rsidRPr="004B3821" w:rsidRDefault="00821A44" w:rsidP="00AB01AA">
      <w:pPr>
        <w:pStyle w:val="Normlnywebov"/>
        <w:spacing w:before="0" w:beforeAutospacing="0" w:after="0" w:afterAutospacing="0"/>
        <w:ind w:firstLine="284"/>
        <w:jc w:val="both"/>
        <w:rPr>
          <w:b/>
          <w:i/>
        </w:rPr>
      </w:pPr>
      <w:r w:rsidRPr="004B3821">
        <w:t xml:space="preserve">Vojaci z povolania, ktorí boli na výkon služby zaradení vo </w:t>
      </w:r>
      <w:r w:rsidRPr="00E408D9">
        <w:t xml:space="preserve">VKR </w:t>
      </w:r>
      <w:r w:rsidR="00E408D9" w:rsidRPr="00E408D9">
        <w:t>(V</w:t>
      </w:r>
      <w:r w:rsidRPr="00E408D9">
        <w:t>ojensk</w:t>
      </w:r>
      <w:r w:rsidR="00E408D9">
        <w:t>á</w:t>
      </w:r>
      <w:r w:rsidRPr="00E408D9">
        <w:t xml:space="preserve"> </w:t>
      </w:r>
      <w:r w:rsidRPr="004B3821">
        <w:t>kontrarozviedk</w:t>
      </w:r>
      <w:r w:rsidR="00E408D9">
        <w:t>a)</w:t>
      </w:r>
      <w:r w:rsidRPr="004B3821">
        <w:t xml:space="preserve"> a v Spravodajskej správe GŠ </w:t>
      </w:r>
      <w:r w:rsidRPr="00E408D9">
        <w:t>ČSĽA</w:t>
      </w:r>
      <w:r w:rsidR="00A33C14" w:rsidRPr="00E408D9">
        <w:t xml:space="preserve">, </w:t>
      </w:r>
      <w:r w:rsidRPr="00E408D9">
        <w:rPr>
          <w:b/>
          <w:bCs/>
        </w:rPr>
        <w:t>boli  na základe</w:t>
      </w:r>
      <w:r w:rsidRPr="00E408D9">
        <w:t xml:space="preserve"> </w:t>
      </w:r>
      <w:r w:rsidRPr="00E408D9">
        <w:rPr>
          <w:b/>
          <w:bCs/>
        </w:rPr>
        <w:t>dobrovoľnosti reatestovaní</w:t>
      </w:r>
      <w:r w:rsidRPr="00E408D9">
        <w:t xml:space="preserve">  </w:t>
      </w:r>
      <w:r w:rsidRPr="004B3821">
        <w:t xml:space="preserve">v súlade s RMO (Rozkaz ministra obrany) č. 015/1990 zo dňa 26.11.1990 a uznesením branných  a bezpečnostných  výborov  Federálneho   zhromaždenia  ČSFR zo dňa 18. decembra 1990 č. 47 o vysielaní poslancov Federálneho   zhromaždenia  ČSFR do previerkových  komisii  Ministerstva  obrany ČSFR. Z celkového počtu 819 príslušníkov, previerkové komisie  u 770 príslušníkov VKR armády ČSFR  po vykonanej  </w:t>
      </w:r>
      <w:r w:rsidRPr="004B3821">
        <w:rPr>
          <w:b/>
          <w:i/>
        </w:rPr>
        <w:t xml:space="preserve">reatestácii potvrdili  a deklarovali   „spôsobilosť ďalej vykonávať  službu vojaka z povolania respektíve profesionálneho vojaka v armáde  podľa    platných právnych noriem,  a to ako  z hľadiska odborného, tak i morálneho “. </w:t>
      </w:r>
    </w:p>
    <w:p w14:paraId="35CC361A" w14:textId="77777777" w:rsidR="00821A44" w:rsidRPr="004B3821" w:rsidRDefault="00821A44" w:rsidP="00AB01AA">
      <w:pPr>
        <w:ind w:firstLine="284"/>
        <w:rPr>
          <w:b/>
          <w:bCs/>
        </w:rPr>
      </w:pPr>
    </w:p>
    <w:p w14:paraId="4EFB2CB9" w14:textId="018CCDE8" w:rsidR="00156AA9" w:rsidRPr="004B3821" w:rsidRDefault="00821A44" w:rsidP="00AB01AA">
      <w:pPr>
        <w:pStyle w:val="Bezriadkovania"/>
        <w:spacing w:after="120"/>
        <w:ind w:firstLine="284"/>
        <w:jc w:val="both"/>
        <w:rPr>
          <w:rFonts w:ascii="Times New Roman" w:hAnsi="Times New Roman"/>
          <w:sz w:val="24"/>
          <w:szCs w:val="24"/>
        </w:rPr>
      </w:pPr>
      <w:r w:rsidRPr="004B3821">
        <w:rPr>
          <w:rFonts w:ascii="Times New Roman" w:hAnsi="Times New Roman"/>
          <w:sz w:val="24"/>
          <w:szCs w:val="24"/>
        </w:rPr>
        <w:t xml:space="preserve">V prípade, že by  reatestačné  komisie  mali len   minimálne   podozrenie na  porušovanie právnych a  morálnych    noriem, tak daný   príslušník   by  nebol  prešiel reatestáciami  a bol  by   prepustený  do zálohy. Dôvody uvádzané v preambule navrhovaného zákona na odobratie nezaslúžených benefitov predstaviteľom komunistického režimu   sú   len všeobecné tvrdenia bez dôkazov  voči konkrétnym osobám. V demokratickom právnom  systéme platí, že nepreukázaná vina je  preukázaná  nevina. Princíp kolektívnej  viny je  v právnom štáte  neprípustný. Každý občan, na ktorého sa bude vzťahovať navrhovaný zákon  by mal    najskôr obdŕžať odsudzujúci rozsudok, kde  by bola jeho vina dokázaná a na  základe tejto   skutočnosti   môžu   byť  vykonané navrhované  opatrenia. Z  tohto  dôvodu   považujeme   za  absolútne  nezákonné až protiústavné  vydeľovať   vojakov profesionálnej služby, poberateľov výsluhových dôchodkov, ktorí prešli   reatestácoiu  zo zákona č. 328/2002 Z. z. </w:t>
      </w:r>
      <w:r w:rsidRPr="004B3821">
        <w:rPr>
          <w:rFonts w:ascii="Times New Roman" w:hAnsi="Times New Roman"/>
          <w:bCs/>
          <w:color w:val="070707"/>
          <w:sz w:val="24"/>
          <w:szCs w:val="24"/>
          <w:shd w:val="clear" w:color="auto" w:fill="FFFFFF"/>
        </w:rPr>
        <w:t>Zákon o sociálnom zabezpečení policajtov a vojakov</w:t>
      </w:r>
      <w:r w:rsidRPr="004B3821">
        <w:rPr>
          <w:rFonts w:ascii="Times New Roman" w:hAnsi="Times New Roman"/>
          <w:bCs/>
          <w:color w:val="070707"/>
          <w:shd w:val="clear" w:color="auto" w:fill="FFFFFF"/>
        </w:rPr>
        <w:t xml:space="preserve"> a o zmene a doplnení niektorých zákonov </w:t>
      </w:r>
      <w:r w:rsidRPr="004B3821">
        <w:rPr>
          <w:rFonts w:ascii="Times New Roman" w:hAnsi="Times New Roman"/>
          <w:sz w:val="24"/>
          <w:szCs w:val="24"/>
        </w:rPr>
        <w:t xml:space="preserve">v znení neskorších predpisov </w:t>
      </w:r>
      <w:r w:rsidRPr="004B3821">
        <w:rPr>
          <w:rFonts w:ascii="Times New Roman" w:hAnsi="Times New Roman"/>
          <w:b/>
          <w:i/>
          <w:sz w:val="24"/>
          <w:szCs w:val="24"/>
        </w:rPr>
        <w:t xml:space="preserve">„ako  osoby   minimálne  druhej kategórie špeciálnou sankciou   vo   forme nezapočítania   reálne odslúženej   doby v armáde  počas  zaradenia v spravodajskej správe GŠ alebo VKR pred  rokom </w:t>
      </w:r>
      <w:r w:rsidRPr="00E408D9">
        <w:rPr>
          <w:rFonts w:ascii="Times New Roman" w:hAnsi="Times New Roman"/>
          <w:b/>
          <w:i/>
          <w:sz w:val="24"/>
          <w:szCs w:val="24"/>
        </w:rPr>
        <w:t>1989</w:t>
      </w:r>
      <w:r w:rsidR="00877E92" w:rsidRPr="00E408D9">
        <w:rPr>
          <w:rFonts w:ascii="Times New Roman" w:hAnsi="Times New Roman"/>
          <w:b/>
          <w:i/>
          <w:sz w:val="24"/>
          <w:szCs w:val="24"/>
        </w:rPr>
        <w:t>“</w:t>
      </w:r>
      <w:r w:rsidRPr="00E408D9">
        <w:rPr>
          <w:rFonts w:ascii="Times New Roman" w:hAnsi="Times New Roman"/>
          <w:sz w:val="24"/>
          <w:szCs w:val="24"/>
        </w:rPr>
        <w:t xml:space="preserve">   pre  </w:t>
      </w:r>
      <w:r w:rsidRPr="004B3821">
        <w:rPr>
          <w:rFonts w:ascii="Times New Roman" w:hAnsi="Times New Roman"/>
          <w:sz w:val="24"/>
          <w:szCs w:val="24"/>
        </w:rPr>
        <w:t xml:space="preserve">potreby  výpočtu výsluhového  dôchodku z nedôvodného titulu, pretože u týchto reatestovaných vojakov neboli v ich zaradení na výkon služby v spravodajských a bezpečnostných zložkách  potvrdené konania,   ktoré   uvádza   predkladateľ zákona. </w:t>
      </w:r>
      <w:r w:rsidRPr="004B3821">
        <w:rPr>
          <w:rFonts w:ascii="Times New Roman" w:hAnsi="Times New Roman"/>
          <w:b/>
          <w:sz w:val="24"/>
          <w:szCs w:val="24"/>
        </w:rPr>
        <w:t>Dobrovoľné reatestácie   boli   právnym    aktom</w:t>
      </w:r>
      <w:r w:rsidRPr="004B3821">
        <w:rPr>
          <w:rFonts w:ascii="Times New Roman" w:hAnsi="Times New Roman"/>
          <w:sz w:val="24"/>
          <w:szCs w:val="24"/>
        </w:rPr>
        <w:t xml:space="preserve"> </w:t>
      </w:r>
      <w:r w:rsidRPr="004B3821">
        <w:rPr>
          <w:rFonts w:ascii="Times New Roman" w:hAnsi="Times New Roman"/>
          <w:sz w:val="24"/>
          <w:szCs w:val="24"/>
          <w:lang w:eastAsia="sk-SK"/>
        </w:rPr>
        <w:t xml:space="preserve">v súlade s RMO (Rozkaz ministra obrany) č. 015/1990 zo dňa 26. 11. 1990 </w:t>
      </w:r>
      <w:r w:rsidRPr="004B3821">
        <w:rPr>
          <w:rFonts w:ascii="Times New Roman" w:hAnsi="Times New Roman"/>
          <w:sz w:val="24"/>
          <w:szCs w:val="24"/>
        </w:rPr>
        <w:t xml:space="preserve">a uznesením branných  a bezpečnostných  výborov  Federálneho   zhromaždenia  ČSFR zo dňa 18. decembra 1990 č. 47 o vysielaní poslancov Federálneho   zhromaždenia  ČSFR do previerkových  komisii  Ministerstva  obrany </w:t>
      </w:r>
      <w:r w:rsidRPr="00E408D9">
        <w:rPr>
          <w:rFonts w:ascii="Times New Roman" w:hAnsi="Times New Roman"/>
          <w:sz w:val="24"/>
          <w:szCs w:val="24"/>
        </w:rPr>
        <w:t xml:space="preserve">ČSFR, čo </w:t>
      </w:r>
      <w:r w:rsidRPr="004B3821">
        <w:rPr>
          <w:rFonts w:ascii="Times New Roman" w:hAnsi="Times New Roman"/>
          <w:sz w:val="24"/>
          <w:szCs w:val="24"/>
        </w:rPr>
        <w:t xml:space="preserve">potvrdil aj Ústavný   súd ČR  napr. v uznesení    US 435/04   a výsledky  </w:t>
      </w:r>
      <w:r w:rsidR="00E408D9">
        <w:rPr>
          <w:rFonts w:ascii="Times New Roman" w:hAnsi="Times New Roman"/>
          <w:sz w:val="24"/>
          <w:szCs w:val="24"/>
        </w:rPr>
        <w:t xml:space="preserve">dobrovoľných </w:t>
      </w:r>
      <w:r w:rsidR="00877E92" w:rsidRPr="00E408D9">
        <w:rPr>
          <w:rFonts w:ascii="Times New Roman" w:hAnsi="Times New Roman"/>
          <w:sz w:val="24"/>
          <w:szCs w:val="24"/>
        </w:rPr>
        <w:t>reatestácií</w:t>
      </w:r>
      <w:r w:rsidRPr="00E408D9">
        <w:rPr>
          <w:rFonts w:ascii="Times New Roman" w:hAnsi="Times New Roman"/>
          <w:sz w:val="24"/>
          <w:szCs w:val="24"/>
        </w:rPr>
        <w:t xml:space="preserve"> </w:t>
      </w:r>
      <w:r w:rsidRPr="004B3821">
        <w:rPr>
          <w:rFonts w:ascii="Times New Roman" w:hAnsi="Times New Roman"/>
          <w:sz w:val="24"/>
          <w:szCs w:val="24"/>
        </w:rPr>
        <w:t xml:space="preserve"> sa   premietli   do  Českého   zákona  o vojácich   č. 221/1999 Sb ,</w:t>
      </w:r>
      <w:r w:rsidR="002B3F5B">
        <w:rPr>
          <w:rFonts w:ascii="Times New Roman" w:hAnsi="Times New Roman"/>
          <w:sz w:val="24"/>
          <w:szCs w:val="24"/>
        </w:rPr>
        <w:t xml:space="preserve"> </w:t>
      </w:r>
      <w:r w:rsidRPr="004B3821">
        <w:rPr>
          <w:rFonts w:ascii="Times New Roman" w:hAnsi="Times New Roman"/>
          <w:sz w:val="24"/>
          <w:szCs w:val="24"/>
        </w:rPr>
        <w:t>§165</w:t>
      </w:r>
      <w:r w:rsidR="00E408D9">
        <w:rPr>
          <w:rFonts w:ascii="Times New Roman" w:hAnsi="Times New Roman"/>
          <w:sz w:val="24"/>
          <w:szCs w:val="24"/>
        </w:rPr>
        <w:t xml:space="preserve"> </w:t>
      </w:r>
      <w:r w:rsidRPr="004B3821">
        <w:rPr>
          <w:rFonts w:ascii="Times New Roman" w:hAnsi="Times New Roman"/>
          <w:sz w:val="24"/>
          <w:szCs w:val="24"/>
        </w:rPr>
        <w:t>ods.7</w:t>
      </w:r>
      <w:r w:rsidR="002B3F5B">
        <w:rPr>
          <w:rFonts w:ascii="Times New Roman" w:hAnsi="Times New Roman"/>
          <w:sz w:val="24"/>
          <w:szCs w:val="24"/>
        </w:rPr>
        <w:t>.</w:t>
      </w:r>
      <w:r w:rsidRPr="004B3821">
        <w:rPr>
          <w:rFonts w:ascii="Times New Roman" w:hAnsi="Times New Roman"/>
          <w:b/>
          <w:i/>
          <w:sz w:val="24"/>
          <w:szCs w:val="24"/>
        </w:rPr>
        <w:t xml:space="preserve"> Toto rozhodnutie reatestačnej komisie bolo rešpektované pre výkon služby v armáde ČSFR a aj v armáde Slovenskej republiky po rozdelení ČSFR v nasledujúcich rokoch. Nikdy za uplynulých 30 rokov nedošlo k jeho spochybňovaniu.</w:t>
      </w:r>
    </w:p>
    <w:p w14:paraId="380A13DA" w14:textId="7DBC9555" w:rsidR="00821A44" w:rsidRPr="004B3821" w:rsidRDefault="00821A44" w:rsidP="00AB01AA">
      <w:pPr>
        <w:pStyle w:val="Bezriadkovania"/>
        <w:spacing w:after="120"/>
        <w:ind w:firstLine="284"/>
        <w:jc w:val="both"/>
        <w:rPr>
          <w:rFonts w:ascii="Times New Roman" w:hAnsi="Times New Roman"/>
          <w:sz w:val="24"/>
          <w:szCs w:val="24"/>
        </w:rPr>
      </w:pPr>
      <w:r w:rsidRPr="004B3821">
        <w:rPr>
          <w:rFonts w:ascii="Times New Roman" w:hAnsi="Times New Roman"/>
          <w:sz w:val="24"/>
          <w:szCs w:val="24"/>
        </w:rPr>
        <w:t xml:space="preserve">  Vyššie uvedený systém previerok a pohovorov bol vykonaný len v Armáde ČSFR. V ozbrojených silách   Poľska, Maďarska  a Nemecka   takýto náročný a rozsiahly  reatestačný  previerkový postup spôsobilosti   vykonávať  službu  v armáde   nebol  aplikovaný. Z týchto dôvodov nie je možne aplikovať  riešenie  výsluhových dôchodkov vo vyššie uvedených krajinách v podmienkach Slovenskej republiky. Bezúhonnosť vojenských spravodajských  a  bezpečnostných   zložiek bola už riešená  v rokoch 1990-92 v rámci armády  ČSFR tak ako bolo uvedené vyššie. Z týchto dôvodov je navrhované riešenie právne neopodstatnené a fakticky   by išlo  o popieranie činnosti   a výsledkov   Federálneho zhromaždenia  ČSFR   pri  </w:t>
      </w:r>
      <w:r w:rsidRPr="004B3821">
        <w:rPr>
          <w:rFonts w:ascii="Times New Roman" w:hAnsi="Times New Roman"/>
          <w:sz w:val="24"/>
          <w:szCs w:val="24"/>
        </w:rPr>
        <w:lastRenderedPageBreak/>
        <w:t>reatestáciách   príslušníkov  bývalej VKR a ZS/GŠ.  V Českej  republike boli tieto  závery  reatestačných   komisií   plne   akceptované  pri  posudzovaní   služby príslušníkov  VKR v armáde ČR. Nespochybniteľnosť   tohto  rozhodnutia  o bezúhonnosti    a ich  spôsobilosti  pre   službu  týchto   osôb,  potvrdil nakoniec i Najvyšší   správny súd   Českej  republiky a tiež  aj Ústavný   súd - Uznesenie  US 435/04,   čo  viedlo   k zrušeniu   zákona parlamentu ČR  č. 34/1995 Sb</w:t>
      </w:r>
      <w:r w:rsidR="00877E92">
        <w:rPr>
          <w:rFonts w:ascii="Times New Roman" w:hAnsi="Times New Roman"/>
          <w:sz w:val="24"/>
          <w:szCs w:val="24"/>
        </w:rPr>
        <w:t>.</w:t>
      </w:r>
      <w:r w:rsidRPr="004B3821">
        <w:rPr>
          <w:rFonts w:ascii="Times New Roman" w:hAnsi="Times New Roman"/>
          <w:sz w:val="24"/>
          <w:szCs w:val="24"/>
        </w:rPr>
        <w:t xml:space="preserve">  (odňatie    započítateľností   doby   služby vo  VKR    do   doby   služby v armáde  pre   určenie  výšky   výsluhového dôchodku)   zákonom č.</w:t>
      </w:r>
      <w:r w:rsidR="00877E92">
        <w:rPr>
          <w:rFonts w:ascii="Times New Roman" w:hAnsi="Times New Roman"/>
          <w:sz w:val="24"/>
          <w:szCs w:val="24"/>
        </w:rPr>
        <w:t xml:space="preserve"> </w:t>
      </w:r>
      <w:r w:rsidRPr="004B3821">
        <w:rPr>
          <w:rFonts w:ascii="Times New Roman" w:hAnsi="Times New Roman"/>
          <w:sz w:val="24"/>
          <w:szCs w:val="24"/>
        </w:rPr>
        <w:t xml:space="preserve">221/1999 Sb  o vojácích  § 165,  ods.7. </w:t>
      </w:r>
    </w:p>
    <w:p w14:paraId="75A86058" w14:textId="77777777" w:rsidR="00821A44" w:rsidRPr="004B3821" w:rsidRDefault="00821A44" w:rsidP="002B3F5B">
      <w:pPr>
        <w:pStyle w:val="Bezriadkovania"/>
        <w:ind w:firstLine="284"/>
        <w:jc w:val="both"/>
        <w:rPr>
          <w:rFonts w:ascii="Times New Roman" w:hAnsi="Times New Roman"/>
          <w:color w:val="FF0000"/>
          <w:sz w:val="24"/>
          <w:szCs w:val="24"/>
        </w:rPr>
      </w:pPr>
      <w:r w:rsidRPr="004B3821">
        <w:rPr>
          <w:rFonts w:ascii="Times New Roman" w:hAnsi="Times New Roman"/>
          <w:sz w:val="24"/>
          <w:szCs w:val="24"/>
        </w:rPr>
        <w:t>V období  existencie ČSFR do roku 1992 boli centrálne orgány vrátane spravodajských a bezpečnostných zložiek do značnej miery dislokované v súčasnej Českej republike. Z týchto dôvodov aj  drvivá väčšina príslušníkov týchto  služieb, ktorých by sa mal dotýkať navrhovaný zákon, prešla na Slovensko až po rozdelení ČSFR. Je preto logické, že  riešenie tejto problematiky by malo byť analogické  ako  v ČR.</w:t>
      </w:r>
      <w:r w:rsidRPr="004B3821">
        <w:rPr>
          <w:rFonts w:ascii="Times New Roman" w:hAnsi="Times New Roman"/>
          <w:color w:val="FF0000"/>
          <w:sz w:val="24"/>
          <w:szCs w:val="24"/>
        </w:rPr>
        <w:t xml:space="preserve"> </w:t>
      </w:r>
      <w:r w:rsidRPr="004B3821">
        <w:rPr>
          <w:rFonts w:ascii="Times New Roman" w:hAnsi="Times New Roman"/>
          <w:sz w:val="24"/>
          <w:szCs w:val="24"/>
        </w:rPr>
        <w:t>Z vyššie   uvedeného   tiež  vyplýva,  že uvedený     návrh     zákona     je     odtrhnutý     od      právneho  a    faktického   vývoja v spravodajských  službách i vojenskej  polícii armády SR po roku 1989</w:t>
      </w:r>
      <w:r w:rsidRPr="004B3821">
        <w:rPr>
          <w:rFonts w:ascii="Times New Roman" w:hAnsi="Times New Roman"/>
          <w:color w:val="FF0000"/>
          <w:sz w:val="24"/>
          <w:szCs w:val="24"/>
        </w:rPr>
        <w:t>.</w:t>
      </w:r>
    </w:p>
    <w:p w14:paraId="5784FB1D" w14:textId="1073B5BF" w:rsidR="00821A44" w:rsidRPr="004B3821" w:rsidRDefault="00821A44" w:rsidP="002B3F5B">
      <w:pPr>
        <w:pStyle w:val="Bezriadkovania"/>
        <w:ind w:firstLine="284"/>
        <w:jc w:val="both"/>
        <w:rPr>
          <w:rFonts w:ascii="Times New Roman" w:hAnsi="Times New Roman"/>
          <w:sz w:val="24"/>
          <w:szCs w:val="24"/>
        </w:rPr>
      </w:pPr>
      <w:r w:rsidRPr="004B3821">
        <w:rPr>
          <w:rFonts w:ascii="Times New Roman" w:hAnsi="Times New Roman"/>
          <w:sz w:val="24"/>
          <w:szCs w:val="24"/>
          <w:lang w:val="cs-CZ"/>
        </w:rPr>
        <w:br/>
      </w:r>
      <w:r w:rsidRPr="004B3821">
        <w:rPr>
          <w:rFonts w:ascii="Times New Roman" w:hAnsi="Times New Roman"/>
          <w:sz w:val="24"/>
          <w:szCs w:val="24"/>
        </w:rPr>
        <w:t xml:space="preserve"> </w:t>
      </w:r>
      <w:r w:rsidRPr="004B3821">
        <w:rPr>
          <w:rFonts w:ascii="Times New Roman" w:hAnsi="Times New Roman"/>
          <w:sz w:val="24"/>
          <w:szCs w:val="24"/>
        </w:rPr>
        <w:tab/>
        <w:t>Reatestovaní dôstojníci boli  nositeľmi</w:t>
      </w:r>
      <w:r w:rsidR="00877E92">
        <w:rPr>
          <w:rFonts w:ascii="Times New Roman" w:hAnsi="Times New Roman"/>
          <w:sz w:val="24"/>
          <w:szCs w:val="24"/>
        </w:rPr>
        <w:t xml:space="preserve"> </w:t>
      </w:r>
      <w:r w:rsidRPr="004B3821">
        <w:rPr>
          <w:rFonts w:ascii="Times New Roman" w:hAnsi="Times New Roman"/>
          <w:sz w:val="24"/>
          <w:szCs w:val="24"/>
        </w:rPr>
        <w:t>ako  povinností, tak   aj práv a náležitostí podľa   príslušných   zákonov  a predpisov a dostali nielen šancu, ale aj ponuku byť zaradení v novovytváraných vojenských, obranných, bezpečnostných a spravodajských štruktúrach ČSFR (vo Vojenskom obrannom spravodajstve, Vojenskej spravodajskej službe, Vojenskej polícií, prípadne pravidelných útvaroch Československej armády) a neskôr OS SR. Na týchto pozíciách plnili  úlohy podľa   služobného   zaradenia,    na   území  republiky,   ale aj  v misiách (</w:t>
      </w:r>
      <w:r w:rsidRPr="004B3821">
        <w:rPr>
          <w:rFonts w:ascii="Times New Roman" w:hAnsi="Times New Roman"/>
          <w:b/>
          <w:sz w:val="24"/>
          <w:szCs w:val="24"/>
        </w:rPr>
        <w:t>vojna v Perzskom zálive, mierové misie Kosovo, Irak</w:t>
      </w:r>
      <w:r w:rsidRPr="004B3821">
        <w:rPr>
          <w:rFonts w:ascii="Times New Roman" w:hAnsi="Times New Roman"/>
          <w:sz w:val="24"/>
          <w:szCs w:val="24"/>
        </w:rPr>
        <w:t xml:space="preserve">, </w:t>
      </w:r>
      <w:r w:rsidRPr="004B3821">
        <w:rPr>
          <w:rFonts w:ascii="Times New Roman" w:hAnsi="Times New Roman"/>
          <w:b/>
          <w:sz w:val="24"/>
          <w:szCs w:val="24"/>
        </w:rPr>
        <w:t>bývalá Juhoslávia</w:t>
      </w:r>
      <w:r w:rsidRPr="004B3821">
        <w:rPr>
          <w:rFonts w:ascii="Times New Roman" w:hAnsi="Times New Roman"/>
          <w:sz w:val="24"/>
          <w:szCs w:val="24"/>
        </w:rPr>
        <w:t>)</w:t>
      </w:r>
      <w:r w:rsidRPr="004B3821">
        <w:rPr>
          <w:rFonts w:ascii="Times New Roman" w:hAnsi="Times New Roman"/>
        </w:rPr>
        <w:t xml:space="preserve">  </w:t>
      </w:r>
      <w:r w:rsidRPr="004B3821">
        <w:rPr>
          <w:rFonts w:ascii="Times New Roman" w:hAnsi="Times New Roman"/>
          <w:sz w:val="24"/>
          <w:szCs w:val="24"/>
        </w:rPr>
        <w:t xml:space="preserve">podľa medzinárodných záväzkov SR a  potrieb  NATO, kde  plnohodnotne  potvrdili svoje morálne a odborné    kvality  a výsledky spôsobilosti. </w:t>
      </w:r>
    </w:p>
    <w:p w14:paraId="2275B744" w14:textId="42100FD1" w:rsidR="00821A44" w:rsidRPr="004B3821" w:rsidRDefault="00821A44" w:rsidP="00AB01AA">
      <w:pPr>
        <w:pStyle w:val="Bezriadkovania"/>
        <w:spacing w:after="120"/>
        <w:ind w:firstLine="284"/>
        <w:jc w:val="both"/>
        <w:rPr>
          <w:rFonts w:ascii="Times New Roman" w:hAnsi="Times New Roman"/>
        </w:rPr>
      </w:pPr>
      <w:r w:rsidRPr="004B3821">
        <w:rPr>
          <w:rFonts w:ascii="Times New Roman" w:hAnsi="Times New Roman"/>
          <w:sz w:val="24"/>
          <w:szCs w:val="24"/>
        </w:rPr>
        <w:t xml:space="preserve">   </w:t>
      </w:r>
      <w:r w:rsidRPr="004B3821">
        <w:rPr>
          <w:rFonts w:ascii="Times New Roman" w:hAnsi="Times New Roman"/>
          <w:sz w:val="24"/>
          <w:szCs w:val="24"/>
        </w:rPr>
        <w:tab/>
        <w:t>Je potrebné skonštatovať, že Slovenská republika zastúpená Ministerstvom obrany SR ani v jednom prípade nespochybnila   nárok na povýšenie alebo zvýšenie platu reatestovaného vojaka, ktorý spĺňal podmienku na povýšenie alebo na zvýšenie platu  na základe odslúžených rokov</w:t>
      </w:r>
      <w:r w:rsidR="00877E92">
        <w:rPr>
          <w:rFonts w:ascii="Times New Roman" w:hAnsi="Times New Roman"/>
          <w:sz w:val="24"/>
          <w:szCs w:val="24"/>
        </w:rPr>
        <w:t>,</w:t>
      </w:r>
      <w:r w:rsidRPr="004B3821">
        <w:rPr>
          <w:rFonts w:ascii="Times New Roman" w:hAnsi="Times New Roman"/>
          <w:sz w:val="24"/>
          <w:szCs w:val="24"/>
        </w:rPr>
        <w:t xml:space="preserve"> čo potvrdzujú množstvá  rozkazov na ich povýšenie ako aj platových výmerov, ktoré boli týmto </w:t>
      </w:r>
      <w:r w:rsidR="007E1D17">
        <w:rPr>
          <w:rFonts w:ascii="Times New Roman" w:hAnsi="Times New Roman"/>
          <w:sz w:val="24"/>
          <w:szCs w:val="24"/>
        </w:rPr>
        <w:t xml:space="preserve">profesionálnym </w:t>
      </w:r>
      <w:r w:rsidRPr="004B3821">
        <w:rPr>
          <w:rFonts w:ascii="Times New Roman" w:hAnsi="Times New Roman"/>
          <w:sz w:val="24"/>
          <w:szCs w:val="24"/>
        </w:rPr>
        <w:t xml:space="preserve">vojakom vydané. Slovenská republika od svojho vzniku týmto potvrdzovala platnosť dobrovoľného zmluvného  záväzku medzi štátom a občanom, plnila si záväzky voči reatestovaným vojakom ako aj reatestovaní vojaci si plnili záväzky voči štátu až po odchod do zálohy s náležitosťami vyplývajúcimi z tejto zmluvy. Po prijatí navrhovaného zákona spochybní Slovenská republika všetky svoje kroky, ktoré v zmluve s občanom robila a uviedla druhú zmluvnú stranu v omyl.       </w:t>
      </w:r>
    </w:p>
    <w:p w14:paraId="19047057" w14:textId="678D9998" w:rsidR="00821A44" w:rsidRDefault="00821A44" w:rsidP="00AB01AA">
      <w:pPr>
        <w:pStyle w:val="Bezriadkovania"/>
        <w:ind w:firstLine="284"/>
        <w:jc w:val="both"/>
        <w:rPr>
          <w:rFonts w:ascii="Times New Roman" w:hAnsi="Times New Roman"/>
          <w:sz w:val="24"/>
          <w:szCs w:val="24"/>
        </w:rPr>
      </w:pPr>
      <w:r w:rsidRPr="004B3821">
        <w:rPr>
          <w:rFonts w:ascii="Times New Roman" w:hAnsi="Times New Roman"/>
          <w:sz w:val="24"/>
          <w:szCs w:val="24"/>
        </w:rPr>
        <w:t>Po rozdelení ČSFR sa aktívne  zapojili   do  výstavby  ozbrojených síl  SR a predovšetkým stali pri zrode spravodajských a bezpečnostných zložiek. Pripravili  Zákon o Vojenskom spravodajstve, Vojenskej polícii, vytvorili smernice na spravodajskú a policajnú činnosť, Štatút Vojenského spravodajstva, organizačné štruktúry a </w:t>
      </w:r>
      <w:r w:rsidRPr="002B3F5B">
        <w:rPr>
          <w:rFonts w:ascii="Times New Roman" w:hAnsi="Times New Roman"/>
          <w:sz w:val="24"/>
          <w:szCs w:val="24"/>
        </w:rPr>
        <w:t xml:space="preserve">ďalšie </w:t>
      </w:r>
      <w:r w:rsidR="007E1D17" w:rsidRPr="002B3F5B">
        <w:rPr>
          <w:rFonts w:ascii="Times New Roman" w:hAnsi="Times New Roman"/>
          <w:sz w:val="24"/>
          <w:szCs w:val="24"/>
        </w:rPr>
        <w:t>interné normatívne akty</w:t>
      </w:r>
      <w:r w:rsidRPr="002B3F5B">
        <w:rPr>
          <w:rFonts w:ascii="Times New Roman" w:hAnsi="Times New Roman"/>
          <w:sz w:val="24"/>
          <w:szCs w:val="24"/>
        </w:rPr>
        <w:t xml:space="preserve">,  </w:t>
      </w:r>
      <w:r w:rsidR="007E1D17" w:rsidRPr="002B3F5B">
        <w:rPr>
          <w:rFonts w:ascii="Times New Roman" w:hAnsi="Times New Roman"/>
          <w:sz w:val="24"/>
          <w:szCs w:val="24"/>
        </w:rPr>
        <w:t>na základe ktorých sa vykonávala spravodajská činnosť a ktoré sú platné aj do súčasnej doby.</w:t>
      </w:r>
      <w:r w:rsidRPr="004B3821">
        <w:rPr>
          <w:rFonts w:ascii="Times New Roman" w:hAnsi="Times New Roman"/>
          <w:sz w:val="24"/>
          <w:szCs w:val="24"/>
        </w:rPr>
        <w:t xml:space="preserve"> Pripravili nových vojenských policajtov a spravodajských dôstojníkov – odovzdali im svoje skúsenosti a vedomosti. Reatestovaní dôstojníci vytvorili organizačné jadrá VOS, VSS a Vojenskej polície, ktoré v rámci slovenskej republiky boli budované v podstate na „zelenej lúke“ bez predchádzajúcich potrebných organizačných štruktúr, materiálno-technického zabezpečenia a dislokačných priestorov nových služieb.  Pri delení armády ČSFR vykonávali spravodajskú a bezpečnostnú ochranu  delimitovanej armády a bojovej techniky. Bez  akýchkoľvek pochybností  sa  zapojili do  budovania   nových  bezpečnostných   služieb v ozbrojených silách SR. Každý  príslušník vynakladal všetky svoje sily a schopnosti a riskoval aj svoj život a zdravie pri plnení základných funkcií štátu a  jeho ochranu, obranu a ochranu jeho obyvateľov a strpel </w:t>
      </w:r>
      <w:r w:rsidRPr="004B3821">
        <w:rPr>
          <w:rFonts w:ascii="Times New Roman" w:hAnsi="Times New Roman"/>
          <w:sz w:val="24"/>
          <w:szCs w:val="24"/>
        </w:rPr>
        <w:lastRenderedPageBreak/>
        <w:t xml:space="preserve">zákonné obmedzenia spojené s výkonom služby vojaka ako napr. zákaz byť členom politickej strany a politického hnutia, zákaz združovať sa v odborových organizáciách, zákaz podnikať, či obmedzeniu osobnej slobody pri výkone služby podľa potrieb armády. </w:t>
      </w:r>
    </w:p>
    <w:p w14:paraId="1F0503D8" w14:textId="77777777" w:rsidR="000D461F" w:rsidRPr="004B3821" w:rsidRDefault="000D461F" w:rsidP="00AB01AA">
      <w:pPr>
        <w:pStyle w:val="Bezriadkovania"/>
        <w:ind w:firstLine="284"/>
        <w:jc w:val="both"/>
        <w:rPr>
          <w:rFonts w:ascii="Times New Roman" w:hAnsi="Times New Roman"/>
          <w:sz w:val="24"/>
          <w:szCs w:val="24"/>
        </w:rPr>
      </w:pPr>
    </w:p>
    <w:p w14:paraId="5A567BC4" w14:textId="77777777" w:rsidR="00821A44" w:rsidRDefault="00821A44" w:rsidP="00AB01AA">
      <w:pPr>
        <w:pStyle w:val="Bezriadkovania"/>
        <w:ind w:firstLine="284"/>
        <w:jc w:val="both"/>
        <w:rPr>
          <w:rFonts w:ascii="Times New Roman" w:hAnsi="Times New Roman"/>
          <w:sz w:val="24"/>
          <w:szCs w:val="24"/>
        </w:rPr>
      </w:pPr>
      <w:r w:rsidRPr="004B3821">
        <w:rPr>
          <w:rFonts w:ascii="Times New Roman" w:hAnsi="Times New Roman"/>
          <w:sz w:val="24"/>
          <w:szCs w:val="24"/>
        </w:rPr>
        <w:t xml:space="preserve">Túto   službu   vykonávali viacmennej   vo   vysokých  pracovných   pozíciách    až   do odchodu    do výsluhového  dôchodku, z dôvodov  veku   alebo  splnenia   počtu  rokov     v službe  vojaka  z povolania  pre  nárok   na   výsluhový dôchodok. Predkladateľ návrhu  zákona v nadväznosti na Programové vyhlásenie vlády  sa v dôvodovej správe  opiera vo  veľkej   miere  o dianie  v 50-tych rokoch.  Avšak  vo  vojenských  spravodajských  službách  (VKR, VOS, ZS/GŠ, VSS ) to  bude   mať   výlučný   dopad   na    osoby,   ktoré   do  týchto   služieb   nastupovali  v 70-tych,  80-tych   rokoch   minulého  storočia  a to sú ľudia, ktorí v 50-tych   rokoch  buď   neboli   na   svete   alebo   boli   maloletí.  </w:t>
      </w:r>
    </w:p>
    <w:p w14:paraId="1E71426C" w14:textId="77777777" w:rsidR="000D461F" w:rsidRPr="004B3821" w:rsidRDefault="000D461F" w:rsidP="00AB01AA">
      <w:pPr>
        <w:pStyle w:val="Bezriadkovania"/>
        <w:ind w:firstLine="284"/>
        <w:jc w:val="both"/>
        <w:rPr>
          <w:rFonts w:ascii="Times New Roman" w:hAnsi="Times New Roman"/>
          <w:sz w:val="24"/>
          <w:szCs w:val="24"/>
        </w:rPr>
      </w:pPr>
    </w:p>
    <w:p w14:paraId="010757BC" w14:textId="7D3B9DF0" w:rsidR="00D90A83" w:rsidRDefault="0059014F" w:rsidP="00AB01AA">
      <w:pPr>
        <w:pStyle w:val="Bezriadkovania"/>
        <w:spacing w:after="120"/>
        <w:ind w:firstLine="284"/>
        <w:jc w:val="both"/>
        <w:rPr>
          <w:rFonts w:ascii="Times New Roman" w:hAnsi="Times New Roman"/>
          <w:sz w:val="24"/>
          <w:szCs w:val="24"/>
        </w:rPr>
      </w:pPr>
      <w:r w:rsidRPr="002B3F5B">
        <w:rPr>
          <w:rFonts w:ascii="Times New Roman" w:hAnsi="Times New Roman"/>
          <w:sz w:val="24"/>
          <w:szCs w:val="24"/>
        </w:rPr>
        <w:t>V</w:t>
      </w:r>
      <w:r w:rsidR="008D7E34" w:rsidRPr="002B3F5B">
        <w:rPr>
          <w:rFonts w:ascii="Times New Roman" w:hAnsi="Times New Roman"/>
          <w:sz w:val="24"/>
          <w:szCs w:val="24"/>
        </w:rPr>
        <w:t>äčšina príslušníkov VOS a ZS/GŠ</w:t>
      </w:r>
      <w:r w:rsidRPr="002B3F5B">
        <w:rPr>
          <w:rFonts w:ascii="Times New Roman" w:hAnsi="Times New Roman"/>
          <w:sz w:val="24"/>
          <w:szCs w:val="24"/>
        </w:rPr>
        <w:t>,</w:t>
      </w:r>
      <w:r w:rsidR="005C21F9" w:rsidRPr="002B3F5B">
        <w:rPr>
          <w:rFonts w:ascii="Times New Roman" w:hAnsi="Times New Roman"/>
          <w:sz w:val="24"/>
          <w:szCs w:val="24"/>
        </w:rPr>
        <w:t xml:space="preserve"> </w:t>
      </w:r>
      <w:r w:rsidR="008D7E34" w:rsidRPr="002B3F5B">
        <w:rPr>
          <w:rFonts w:ascii="Times New Roman" w:hAnsi="Times New Roman"/>
          <w:sz w:val="24"/>
          <w:szCs w:val="24"/>
        </w:rPr>
        <w:t>ktorí prešli previerkovým procesom v 90-tych rokoch ukončila službu v OS SR až v rokoch 2003-2004</w:t>
      </w:r>
      <w:r w:rsidR="00877E92">
        <w:rPr>
          <w:rFonts w:ascii="Times New Roman" w:hAnsi="Times New Roman"/>
          <w:sz w:val="24"/>
          <w:szCs w:val="24"/>
        </w:rPr>
        <w:t>,</w:t>
      </w:r>
      <w:r w:rsidR="008D7E34" w:rsidRPr="002B3F5B">
        <w:rPr>
          <w:rFonts w:ascii="Times New Roman" w:hAnsi="Times New Roman"/>
          <w:sz w:val="24"/>
          <w:szCs w:val="24"/>
        </w:rPr>
        <w:t xml:space="preserve"> kedy bol prijatý zákona č. 215/2004 Z. z. o ochrane utajovaných skutočností. Dôvodom odchodu do výsluhového dôchodku nebol</w:t>
      </w:r>
      <w:r w:rsidR="00652327" w:rsidRPr="002B3F5B">
        <w:rPr>
          <w:rFonts w:ascii="Times New Roman" w:hAnsi="Times New Roman"/>
          <w:sz w:val="24"/>
          <w:szCs w:val="24"/>
        </w:rPr>
        <w:t>a negatívna medializácia činnosti týchto zložiek alebo</w:t>
      </w:r>
      <w:r w:rsidR="008D7E34" w:rsidRPr="002B3F5B">
        <w:rPr>
          <w:rFonts w:ascii="Times New Roman" w:hAnsi="Times New Roman"/>
          <w:sz w:val="24"/>
          <w:szCs w:val="24"/>
        </w:rPr>
        <w:t xml:space="preserve"> skutočnosti, ktoré sú </w:t>
      </w:r>
      <w:r w:rsidR="00D90A83" w:rsidRPr="002B3F5B">
        <w:rPr>
          <w:rFonts w:ascii="Times New Roman" w:hAnsi="Times New Roman"/>
          <w:sz w:val="24"/>
          <w:szCs w:val="24"/>
        </w:rPr>
        <w:t>uvádzané</w:t>
      </w:r>
      <w:r w:rsidR="008D7E34" w:rsidRPr="002B3F5B">
        <w:rPr>
          <w:rFonts w:ascii="Times New Roman" w:hAnsi="Times New Roman"/>
          <w:sz w:val="24"/>
          <w:szCs w:val="24"/>
        </w:rPr>
        <w:t xml:space="preserve"> v návrhu </w:t>
      </w:r>
      <w:r w:rsidR="00D90A83" w:rsidRPr="002B3F5B">
        <w:rPr>
          <w:rFonts w:ascii="Times New Roman" w:hAnsi="Times New Roman"/>
          <w:sz w:val="24"/>
          <w:szCs w:val="24"/>
        </w:rPr>
        <w:t>zákona</w:t>
      </w:r>
      <w:r w:rsidR="008D7E34" w:rsidRPr="002B3F5B">
        <w:rPr>
          <w:rFonts w:ascii="Times New Roman" w:hAnsi="Times New Roman"/>
          <w:sz w:val="24"/>
          <w:szCs w:val="24"/>
        </w:rPr>
        <w:t xml:space="preserve"> na odobratie benefitov, ale</w:t>
      </w:r>
      <w:r w:rsidR="00D90A83" w:rsidRPr="002B3F5B">
        <w:rPr>
          <w:rFonts w:ascii="Times New Roman" w:hAnsi="Times New Roman"/>
          <w:sz w:val="24"/>
          <w:szCs w:val="24"/>
        </w:rPr>
        <w:t xml:space="preserve"> v súvislosti s prípravami na vstup do NATO. Do zoznamu osôb s bezpečnostným rizikom boli zaradení aj príslušníci VOS</w:t>
      </w:r>
      <w:r w:rsidR="005B4835" w:rsidRPr="002B3F5B">
        <w:rPr>
          <w:rFonts w:ascii="Times New Roman" w:hAnsi="Times New Roman"/>
          <w:sz w:val="24"/>
          <w:szCs w:val="24"/>
        </w:rPr>
        <w:t xml:space="preserve">, </w:t>
      </w:r>
      <w:r w:rsidR="00D90A83" w:rsidRPr="002B3F5B">
        <w:rPr>
          <w:rFonts w:ascii="Times New Roman" w:hAnsi="Times New Roman"/>
          <w:sz w:val="24"/>
          <w:szCs w:val="24"/>
        </w:rPr>
        <w:t>VSS</w:t>
      </w:r>
      <w:r w:rsidR="005B4835" w:rsidRPr="002B3F5B">
        <w:rPr>
          <w:rFonts w:ascii="Times New Roman" w:hAnsi="Times New Roman"/>
          <w:sz w:val="24"/>
          <w:szCs w:val="24"/>
        </w:rPr>
        <w:t xml:space="preserve"> a vojenskej polície</w:t>
      </w:r>
      <w:r w:rsidR="00D90A83" w:rsidRPr="002B3F5B">
        <w:rPr>
          <w:rFonts w:ascii="Times New Roman" w:hAnsi="Times New Roman"/>
          <w:sz w:val="24"/>
          <w:szCs w:val="24"/>
        </w:rPr>
        <w:t>, ktorí prešli z federálnych bezpečnostných a spravodajských zložiek a v OS SR slúžili od rozdelenia ČSFR v roku 1993</w:t>
      </w:r>
      <w:r w:rsidR="00652327" w:rsidRPr="002B3F5B">
        <w:rPr>
          <w:rFonts w:ascii="Times New Roman" w:hAnsi="Times New Roman"/>
          <w:sz w:val="24"/>
          <w:szCs w:val="24"/>
        </w:rPr>
        <w:t xml:space="preserve"> až do roku 2004</w:t>
      </w:r>
      <w:r w:rsidR="00D90A83" w:rsidRPr="002B3F5B">
        <w:rPr>
          <w:rFonts w:ascii="Times New Roman" w:hAnsi="Times New Roman"/>
          <w:sz w:val="24"/>
          <w:szCs w:val="24"/>
        </w:rPr>
        <w:t xml:space="preserve">. Tito </w:t>
      </w:r>
      <w:r w:rsidR="005B4835" w:rsidRPr="002B3F5B">
        <w:rPr>
          <w:rFonts w:ascii="Times New Roman" w:hAnsi="Times New Roman"/>
          <w:sz w:val="24"/>
          <w:szCs w:val="24"/>
        </w:rPr>
        <w:t>príslušníci</w:t>
      </w:r>
      <w:r w:rsidR="00D90A83" w:rsidRPr="002B3F5B">
        <w:rPr>
          <w:rFonts w:ascii="Times New Roman" w:hAnsi="Times New Roman"/>
          <w:sz w:val="24"/>
          <w:szCs w:val="24"/>
        </w:rPr>
        <w:t xml:space="preserve"> odišli do výsluhového dôchodku so všetkými </w:t>
      </w:r>
      <w:r w:rsidR="005B4835" w:rsidRPr="002B3F5B">
        <w:rPr>
          <w:rFonts w:ascii="Times New Roman" w:hAnsi="Times New Roman"/>
          <w:sz w:val="24"/>
          <w:szCs w:val="24"/>
        </w:rPr>
        <w:t>náležitosťami</w:t>
      </w:r>
      <w:r w:rsidR="00D90A83" w:rsidRPr="002B3F5B">
        <w:rPr>
          <w:rFonts w:ascii="Times New Roman" w:hAnsi="Times New Roman"/>
          <w:sz w:val="24"/>
          <w:szCs w:val="24"/>
        </w:rPr>
        <w:t xml:space="preserve"> v súlade s platnými zákonmi v tej dobe.</w:t>
      </w:r>
      <w:r w:rsidR="005B4835" w:rsidRPr="002B3F5B">
        <w:rPr>
          <w:rFonts w:ascii="Times New Roman" w:hAnsi="Times New Roman"/>
          <w:sz w:val="24"/>
          <w:szCs w:val="24"/>
        </w:rPr>
        <w:t xml:space="preserve"> Vojenské spravodajstvo v súlade so </w:t>
      </w:r>
      <w:r w:rsidR="00652327" w:rsidRPr="002B3F5B">
        <w:rPr>
          <w:rFonts w:ascii="Times New Roman" w:hAnsi="Times New Roman"/>
          <w:sz w:val="24"/>
          <w:szCs w:val="24"/>
        </w:rPr>
        <w:t>zákonom</w:t>
      </w:r>
      <w:r w:rsidR="005B4835" w:rsidRPr="002B3F5B">
        <w:rPr>
          <w:rFonts w:ascii="Times New Roman" w:hAnsi="Times New Roman"/>
          <w:sz w:val="24"/>
          <w:szCs w:val="24"/>
        </w:rPr>
        <w:t xml:space="preserve"> č. 198</w:t>
      </w:r>
      <w:r w:rsidR="00652327" w:rsidRPr="002B3F5B">
        <w:rPr>
          <w:rFonts w:ascii="Times New Roman" w:hAnsi="Times New Roman"/>
          <w:sz w:val="24"/>
          <w:szCs w:val="24"/>
        </w:rPr>
        <w:t>/1994 Z.z.</w:t>
      </w:r>
      <w:r w:rsidR="005B4835" w:rsidRPr="002B3F5B">
        <w:rPr>
          <w:rFonts w:ascii="Times New Roman" w:hAnsi="Times New Roman"/>
          <w:sz w:val="24"/>
          <w:szCs w:val="24"/>
        </w:rPr>
        <w:t xml:space="preserve"> o vojenskom spravodajstve predkladalo každý rok do NR SR správu o činnosti, na ktorú bol zo strany poslancov NR SR pozitívny ohlas a dobré hodnotenie.</w:t>
      </w:r>
    </w:p>
    <w:p w14:paraId="5F0BB42A" w14:textId="70E308AF" w:rsidR="00821A44" w:rsidRPr="004B3821" w:rsidRDefault="00652327" w:rsidP="00AB01AA">
      <w:pPr>
        <w:ind w:firstLine="284"/>
        <w:jc w:val="both"/>
      </w:pPr>
      <w:r>
        <w:t xml:space="preserve">Určitým paradoxom je  </w:t>
      </w:r>
      <w:r w:rsidRPr="002B3F5B">
        <w:t>aj</w:t>
      </w:r>
      <w:r w:rsidR="00821A44" w:rsidRPr="004B3821">
        <w:t xml:space="preserve"> fakt,  že  v období rokov 1990-2004, ako  je vyššie  uvedené,  sa navrhovaný zákon dotýka výsluhových dôchodcov, ktorí sa podieľali  v plnej  miere (fakticky 14 rokov a viac)  na  budovaní, riadení štruktúr vysoko funkčných spravodajských   a policajných  služieb  v armáde ako  nositelia štátneho tajomstva z roku 1990. Pričom  táto aktívna  činnosť v prospech  budovania  novej profesionálnej  a demokratickej armády bola   rozhodujúca pre   určenie   výšky  výsluhového dôchodku (podľa zákona   sa   vypočítal  v tej dobe   buď podľa    posledných    piatich   alebo   desiatich   najvýhodnejších    zárobkových  rokov). Čiže pri  výpočte  výsluhových  dôchodkov nemali reatestovaní  príslušníci žiadne benefity  alebo  iné  výhody, ktoré  by ich   zvýhodňovali pri  výpočte  výsluhového  dôchodku. </w:t>
      </w:r>
    </w:p>
    <w:p w14:paraId="5F0B971B" w14:textId="77777777" w:rsidR="00821A44" w:rsidRPr="004B3821" w:rsidRDefault="00821A44" w:rsidP="00821A44">
      <w:pPr>
        <w:pStyle w:val="Normlnywebov"/>
        <w:spacing w:before="0" w:beforeAutospacing="0" w:after="0" w:afterAutospacing="0"/>
        <w:ind w:firstLine="284"/>
        <w:jc w:val="both"/>
      </w:pPr>
    </w:p>
    <w:p w14:paraId="5AB0DD92" w14:textId="1B722A08" w:rsidR="00821A44" w:rsidRPr="004B3821" w:rsidRDefault="00821A44" w:rsidP="00AB01AA">
      <w:pPr>
        <w:pStyle w:val="Normlnywebov"/>
        <w:spacing w:before="0" w:beforeAutospacing="0" w:after="0" w:afterAutospacing="0"/>
        <w:ind w:firstLine="284"/>
        <w:jc w:val="both"/>
        <w:rPr>
          <w:i/>
        </w:rPr>
      </w:pPr>
      <w:r w:rsidRPr="004B3821">
        <w:t>Jednou   zo  základných právnych  zásad  právneho štátu   je  zásada  „</w:t>
      </w:r>
      <w:r w:rsidRPr="004B3821">
        <w:rPr>
          <w:b/>
        </w:rPr>
        <w:t xml:space="preserve">pacta sunt servanta – </w:t>
      </w:r>
      <w:r w:rsidRPr="004B3821">
        <w:t xml:space="preserve">zmluvy sa   majú   plniť“. Služobný   pomer je   zmluvný  vzťah   medzi   štátom a fyzickou   osobou -  vojakom  profesionálom. Ukončením </w:t>
      </w:r>
      <w:r w:rsidR="00652327">
        <w:t xml:space="preserve"> služobného   pomeru  dochádza </w:t>
      </w:r>
      <w:r w:rsidR="00652327" w:rsidRPr="002B3F5B">
        <w:t>aj</w:t>
      </w:r>
      <w:r w:rsidRPr="002B3F5B">
        <w:t xml:space="preserve"> k ukončeniu  právneho  vzťahu medzi  štátom  a fyzickou  osobou -  </w:t>
      </w:r>
      <w:r w:rsidR="00652327" w:rsidRPr="002B3F5B">
        <w:t>profesionálnym voja</w:t>
      </w:r>
      <w:r w:rsidR="00652327">
        <w:t>kom</w:t>
      </w:r>
      <w:r w:rsidRPr="004B3821">
        <w:t>. Z tohto   právneho vzťahu  vzniká štátu presne   špecifikovaná povinnosť a fyzickej   osobe  nárok,     v našich   podmienkach  na   výsluhový  dôchodok,   podľa  platného   zákona  č. 328/2002 Z.z. v dobe odchodu   do  výsluhového  dôchodku.   Akýkoľvek    budúci  zásah  štátu do   obsahu tohto  vzťahu je   jednostranným  zásahom  s retroaktívnymi  dôsledkami  -   pravá retroaktivita. V tomto   prípade ide  o zavedenie dodatočnej  sankcie formou  ad absurdum   t.j.  nulitou reálne  odpracovanej dob</w:t>
      </w:r>
      <w:r w:rsidR="00652327">
        <w:t>y už</w:t>
      </w:r>
      <w:r w:rsidRPr="004B3821">
        <w:t xml:space="preserve"> </w:t>
      </w:r>
      <w:r w:rsidR="00652327">
        <w:t>v</w:t>
      </w:r>
      <w:r w:rsidRPr="004B3821">
        <w:t xml:space="preserve"> minulosti priznaného     výsluhového  dôchodku, čiže   priameho zásahu do  už  nadobudnutého majetkového   práva,  na   jeho   výplatu  v stanovenej  výške.  Týmto   je   porušovaný  ústavný  princíp  právnej   istoty a ochrany  v   minulosti nadobudnutých práv. Demokratický  právny  štát  má   určité  atribúty a princípy,  ktorými sa   je   povinný  riadiť. Takýmito  sú   i vyššie uvedené  skutočnosti. Tieto   patria do   prirodzených   práv a ani  vláda SR respektíve Národná rada  Slovenskej   republiky nie   je   oprávnená   ich   nerešpektovať   </w:t>
      </w:r>
      <w:r w:rsidRPr="004B3821">
        <w:lastRenderedPageBreak/>
        <w:t xml:space="preserve">alebo retroaktívne meniť. Teda k zásahu do už nadobudnutého majetkového práva na jeho výplatu v stanovenej výške. Jedná sa o právnu retroaktivitu, ktorú vymedzil Ústavný súd SR ako: </w:t>
      </w:r>
      <w:r w:rsidRPr="004B3821">
        <w:rPr>
          <w:i/>
        </w:rPr>
        <w:t>„</w:t>
      </w:r>
      <w:r w:rsidRPr="004B3821">
        <w:rPr>
          <w:rStyle w:val="Zvraznenie"/>
          <w:b/>
        </w:rPr>
        <w:t>stav, v ktorom nová právna úprava nenachádza oprávnenia a povinnosti založené právnymi vzťahmi len lex priori</w:t>
      </w:r>
      <w:r w:rsidRPr="004B3821">
        <w:rPr>
          <w:b/>
          <w:i/>
        </w:rPr>
        <w:t xml:space="preserve">"(nález ÚS SR PL. ÚS 37/99), </w:t>
      </w:r>
      <w:r w:rsidRPr="004B3821">
        <w:rPr>
          <w:rStyle w:val="Zvraznenie"/>
          <w:b/>
        </w:rPr>
        <w:t>„alebo stav, keď zákon dodatočne a pozmeňujúco zasahuje do už právne uzavretých minulých skutkových a právnych vzťahov,  práv a povinností (nález ÚS SR PL. ÚS 3/00)</w:t>
      </w:r>
      <w:r w:rsidRPr="004B3821">
        <w:rPr>
          <w:b/>
          <w:i/>
        </w:rPr>
        <w:t>."</w:t>
      </w:r>
      <w:r w:rsidRPr="004B3821">
        <w:rPr>
          <w:i/>
        </w:rPr>
        <w:t xml:space="preserve"> </w:t>
      </w:r>
    </w:p>
    <w:p w14:paraId="4E31000E" w14:textId="77777777" w:rsidR="00821A44" w:rsidRPr="004B3821" w:rsidRDefault="00821A44" w:rsidP="00AB01AA">
      <w:pPr>
        <w:pStyle w:val="Bezriadkovania"/>
        <w:ind w:firstLine="284"/>
        <w:jc w:val="both"/>
        <w:rPr>
          <w:rFonts w:ascii="Times New Roman" w:hAnsi="Times New Roman"/>
          <w:sz w:val="24"/>
          <w:szCs w:val="24"/>
        </w:rPr>
      </w:pPr>
    </w:p>
    <w:p w14:paraId="48DC0701" w14:textId="50D11E67" w:rsidR="00821A44" w:rsidRPr="004B3821" w:rsidRDefault="00821A44" w:rsidP="00AB01AA">
      <w:pPr>
        <w:pStyle w:val="Bezriadkovania"/>
        <w:ind w:firstLine="284"/>
        <w:jc w:val="both"/>
        <w:rPr>
          <w:rFonts w:ascii="Times New Roman" w:hAnsi="Times New Roman"/>
          <w:color w:val="FF0000"/>
          <w:sz w:val="24"/>
          <w:szCs w:val="24"/>
        </w:rPr>
      </w:pPr>
      <w:r w:rsidRPr="004B3821">
        <w:rPr>
          <w:rFonts w:ascii="Times New Roman" w:hAnsi="Times New Roman"/>
          <w:sz w:val="24"/>
          <w:szCs w:val="24"/>
        </w:rPr>
        <w:t>Okrem toho k základným znakom právneho štátu patrí tiež požiadavka právnej istoty, ktorej „neopomenuteľným komponentom je predvídateľnosť práva“. Ide o realizáciu ústavne garantovaného práva na primerané hmotné zabezpečenie v starobe podľa čl. 39 Ústavy SR a čl. 30 Listiny základných práv a slobôd.</w:t>
      </w:r>
    </w:p>
    <w:p w14:paraId="617D1892" w14:textId="46EDB23F" w:rsidR="00821A44" w:rsidRPr="004B3821" w:rsidRDefault="00821A44" w:rsidP="00AB01AA">
      <w:pPr>
        <w:ind w:firstLine="284"/>
        <w:jc w:val="both"/>
      </w:pPr>
      <w:r w:rsidRPr="004B3821">
        <w:t>Pokiaľ sa pripustí nedôvodné porušenie základných ľudských práv v prípade reatestovaných vojakov, kde je istota, že nabudúce nedôjde k porušeniu ľudských práv inej skupiny príslušníkov ozbrojených síl, polície  a bezpečnostných zborov, či  inej skupiny obyvateľov? Predkladanie tohto opatrenia   je nepochopiteľné v</w:t>
      </w:r>
      <w:r w:rsidR="00E863A4">
        <w:t> </w:t>
      </w:r>
      <w:r w:rsidRPr="004B3821">
        <w:t>dobe</w:t>
      </w:r>
      <w:r w:rsidR="00E863A4">
        <w:t>,</w:t>
      </w:r>
      <w:r w:rsidRPr="004B3821">
        <w:t xml:space="preserve"> keď sa bezpečnostná situácia v Európe a vo svete bezprecedentne zhoršuje. </w:t>
      </w:r>
    </w:p>
    <w:p w14:paraId="17247414" w14:textId="77777777" w:rsidR="00821A44" w:rsidRPr="004B3821" w:rsidRDefault="00821A44" w:rsidP="00AB01AA">
      <w:pPr>
        <w:spacing w:before="120"/>
        <w:ind w:firstLine="284"/>
        <w:jc w:val="both"/>
        <w:rPr>
          <w:shd w:val="clear" w:color="auto" w:fill="FFFFFF"/>
        </w:rPr>
      </w:pPr>
      <w:r w:rsidRPr="004B3821">
        <w:rPr>
          <w:shd w:val="clear" w:color="auto" w:fill="FFFFFF"/>
        </w:rPr>
        <w:t>V súvislosti s podaním predmetného návrhu zákona ostáva otázkou, prečo do pôsobnosti návrhu zákona nie sú zahrnuté ostatné štátne orgány, ako je prokuratúra a súdy, ktoré v trestnom konaní zohrávali určujúcu úlohu, mali rozhodujúce právomoci a rozhodovali o vine a treste. Samotná táto skutočnosť zakladá neprípustnú nerovnosť osôb pred zákonom a je porušené právo na rovnakú ochranu bez akejkoľvek diskriminácie (čl.4 ods. 3 Listiny základných práv a slobôd, ústavný zákon č. 23/1991 Zb.).</w:t>
      </w:r>
    </w:p>
    <w:p w14:paraId="6C85F157" w14:textId="7200E500" w:rsidR="00821A44" w:rsidRPr="004B3821" w:rsidRDefault="00821A44" w:rsidP="00AB01AA">
      <w:pPr>
        <w:spacing w:before="120"/>
        <w:ind w:firstLine="284"/>
        <w:jc w:val="both"/>
        <w:rPr>
          <w:shd w:val="clear" w:color="auto" w:fill="FFFFFF"/>
        </w:rPr>
      </w:pPr>
      <w:r w:rsidRPr="004B3821">
        <w:rPr>
          <w:shd w:val="clear" w:color="auto" w:fill="FFFFFF"/>
        </w:rPr>
        <w:t xml:space="preserve">Uvedený návrh  tiež   </w:t>
      </w:r>
      <w:r w:rsidRPr="00E408D9">
        <w:rPr>
          <w:shd w:val="clear" w:color="auto" w:fill="FFFFFF"/>
        </w:rPr>
        <w:t xml:space="preserve">koliduje </w:t>
      </w:r>
      <w:r w:rsidR="00E863A4" w:rsidRPr="00E408D9">
        <w:rPr>
          <w:shd w:val="clear" w:color="auto" w:fill="FFFFFF"/>
        </w:rPr>
        <w:t>s</w:t>
      </w:r>
      <w:r w:rsidRPr="00E408D9">
        <w:rPr>
          <w:shd w:val="clear" w:color="auto" w:fill="FFFFFF"/>
        </w:rPr>
        <w:t xml:space="preserve"> už  </w:t>
      </w:r>
      <w:r w:rsidRPr="004B3821">
        <w:rPr>
          <w:shd w:val="clear" w:color="auto" w:fill="FFFFFF"/>
        </w:rPr>
        <w:t xml:space="preserve">v minulosti   prijatým zákonom č. 125/1996 Z.z. o nemorálností  a protiprávnosti  komunistického systému v  platnom  znení,   kde  v §7 sa   hovorí   </w:t>
      </w:r>
      <w:r w:rsidRPr="004B3821">
        <w:rPr>
          <w:b/>
          <w:shd w:val="clear" w:color="auto" w:fill="FFFFFF"/>
        </w:rPr>
        <w:t>„zodpovednosť  a spoluzodpovednosť  na   spáchaných  zločinoch je  založená na  zásade  individuálnej  zodpovednosti  tých, ktorí sa   trestnej   činnosti  dopustili.“</w:t>
      </w:r>
      <w:r w:rsidRPr="004B3821">
        <w:rPr>
          <w:shd w:val="clear" w:color="auto" w:fill="FFFFFF"/>
        </w:rPr>
        <w:t xml:space="preserve">  Navrhovaný zákon  je postavený na princípe  kolektívnej viny, kde fakticky  navrhovateľ  sa pasuje do role žalobcu i sudcu.</w:t>
      </w:r>
    </w:p>
    <w:p w14:paraId="69887AC8" w14:textId="77777777" w:rsidR="00821A44" w:rsidRPr="004B3821" w:rsidRDefault="00821A44" w:rsidP="00821A44">
      <w:pPr>
        <w:spacing w:before="120" w:line="276" w:lineRule="auto"/>
        <w:ind w:firstLine="284"/>
        <w:jc w:val="both"/>
        <w:rPr>
          <w:shd w:val="clear" w:color="auto" w:fill="FFFFFF"/>
        </w:rPr>
      </w:pPr>
    </w:p>
    <w:p w14:paraId="33DB4551" w14:textId="77777777" w:rsidR="00821A44" w:rsidRPr="004B3821" w:rsidRDefault="00821A44" w:rsidP="00821A44">
      <w:pPr>
        <w:spacing w:line="276" w:lineRule="auto"/>
        <w:ind w:firstLine="284"/>
        <w:jc w:val="both"/>
        <w:rPr>
          <w:b/>
        </w:rPr>
      </w:pPr>
      <w:r w:rsidRPr="004B3821">
        <w:rPr>
          <w:b/>
        </w:rPr>
        <w:t>Hlavné úlohy VKR-VOS a Spravodajskej správy GŠ ČSĽA</w:t>
      </w:r>
    </w:p>
    <w:p w14:paraId="7DFEF529" w14:textId="77777777" w:rsidR="00821A44" w:rsidRPr="004B3821" w:rsidRDefault="00821A44" w:rsidP="00821A44">
      <w:pPr>
        <w:spacing w:line="276" w:lineRule="auto"/>
        <w:ind w:firstLine="284"/>
        <w:jc w:val="both"/>
        <w:rPr>
          <w:b/>
        </w:rPr>
      </w:pPr>
    </w:p>
    <w:p w14:paraId="391023B3" w14:textId="3AD10E16" w:rsidR="00821A44" w:rsidRDefault="00821A44" w:rsidP="00AB01AA">
      <w:pPr>
        <w:ind w:firstLine="284"/>
        <w:jc w:val="both"/>
      </w:pPr>
      <w:r w:rsidRPr="004B3821">
        <w:t>V 70. a  80. rokoch  minulého  storočia  dotknutí  výsluhoví  dôchodcovia  začali  pracovať  v príslušných spravodajských a bezpečnostných zložkách ČSFR. Ťažiskom spravodajskej práce bolo výlučne zameranie sa  na  ochranu  bojaschopnosti  armády   spočívajúcej  v odhaľovaní úniku  utajovaných skutočností, v odhaľovaní  strát, krádeží zbraní, streliva, výzbrojného materiálu a</w:t>
      </w:r>
      <w:r w:rsidR="00E863A4">
        <w:t xml:space="preserve"> </w:t>
      </w:r>
      <w:r w:rsidRPr="004B3821">
        <w:t xml:space="preserve">odhaľovaniu nedostatkov v strážnom, ochrannom zabezpečení  dôležitých objektov, muničných  skladov a priestorov. Okrem vyššie uvedeného prioritnou kontrarozviednou  činnosťou bolo  zamedzenie  pôsobenia cudzích  spravodajských služieb  proti  armáde, a to  ako z legálnych,  tak    nelegálnych pozícií formou agentúrneho prenikania  do  vojenských   objektov. Vedľa  toho  boli   organizované  a realizované  technicko-zabraňovacie  opatrenia proti  vizuálnej rozviedke  cudzích  spravodajských  služieb proti statickým  vojenským  objektom, útvarom  a cvičiacim  vojenským jednotkám,  ako na presunoch,  tak  v priestoroch   cvičenia a strelieb   vojsk. Pri  tejto činnosti boli  využívané   štandardné prostriedky spravodajského  a technického  charakteru,  ktoré  používa  každá tajná  služba   vo   svete. V tejto súvislosti  podotýkame, že dotknutí bývalí  príslušníci  VKR v 70. – 80. rokoch   minulého storočia sa v svojej spravodajskej  činnosti rigorózne riadili platnými  zákonmi a Ústavou. Výsledky  práce využíval  výhradne  minister národnej   obrany, generálny   štáb pri  organizácii činnosti vojsk a ministerstvo   vnútra pri  hodnotení bezpečnostnej  situácie  </w:t>
      </w:r>
      <w:r w:rsidRPr="004B3821">
        <w:lastRenderedPageBreak/>
        <w:t>ČSFR. V bývalej VKR   na  rozdiel od  armádnych  štruktúr nebol politický  aparát. Okrem toho v politických štruktúrach  armády  nebola vykonávaná kontrarozviedna  činnosť a VKR  nemala s nimi žiadny  vzťah  služobnej  podriadenosti.</w:t>
      </w:r>
    </w:p>
    <w:p w14:paraId="4F309D57" w14:textId="77777777" w:rsidR="000D461F" w:rsidRPr="004B3821" w:rsidRDefault="000D461F" w:rsidP="00AB01AA">
      <w:pPr>
        <w:ind w:firstLine="284"/>
        <w:jc w:val="both"/>
      </w:pPr>
    </w:p>
    <w:p w14:paraId="3B3662F8" w14:textId="77777777" w:rsidR="00821A44" w:rsidRDefault="00821A44" w:rsidP="00AB01AA">
      <w:pPr>
        <w:pStyle w:val="Normlnywebov"/>
        <w:spacing w:before="0" w:beforeAutospacing="0" w:after="0" w:afterAutospacing="0"/>
        <w:ind w:firstLine="284"/>
        <w:jc w:val="both"/>
      </w:pPr>
      <w:r w:rsidRPr="004B3821">
        <w:t xml:space="preserve"> Príslušníci VKR pôsobili na štáboch a útvaroch ČSA (od roku 1960 ČSĽA), boli pod prísnym drobnohľadom príslušníkov ozbrojených síl,  nepôsobili pod krytím, ale pod vlastnou identitou. Pôsobnosť VKR bola výhradne v rezorte obrany a tzv. priľahlom civilnom prostredí z dôvodu možnosti vizuálneho sledovania činnosti vojsk s dôrazom na útvary raketového vojska, útvarov zvláštneho určenia, skladov zbraní a pod.  </w:t>
      </w:r>
    </w:p>
    <w:p w14:paraId="1711039A" w14:textId="77777777" w:rsidR="000D461F" w:rsidRPr="004B3821" w:rsidRDefault="000D461F" w:rsidP="00AB01AA">
      <w:pPr>
        <w:pStyle w:val="Normlnywebov"/>
        <w:spacing w:before="0" w:beforeAutospacing="0" w:after="0" w:afterAutospacing="0"/>
        <w:ind w:firstLine="284"/>
        <w:jc w:val="both"/>
      </w:pPr>
    </w:p>
    <w:p w14:paraId="307F8EE0" w14:textId="6F974143" w:rsidR="00821A44" w:rsidRPr="004B3821" w:rsidRDefault="006230AA" w:rsidP="00AB01AA">
      <w:pPr>
        <w:pStyle w:val="Normlnywebov"/>
        <w:spacing w:before="0" w:beforeAutospacing="0" w:after="0" w:afterAutospacing="0"/>
        <w:ind w:firstLine="284"/>
        <w:jc w:val="both"/>
      </w:pPr>
      <w:r w:rsidRPr="006230AA">
        <w:rPr>
          <w:b/>
          <w:bCs/>
        </w:rPr>
        <w:t xml:space="preserve">Spravodajská správa </w:t>
      </w:r>
      <w:r w:rsidR="00821A44" w:rsidRPr="006230AA">
        <w:rPr>
          <w:b/>
          <w:bCs/>
        </w:rPr>
        <w:t>GŠ</w:t>
      </w:r>
      <w:r w:rsidR="00821A44" w:rsidRPr="006230AA">
        <w:t xml:space="preserve"> </w:t>
      </w:r>
      <w:r w:rsidR="00FD489F" w:rsidRPr="006230AA">
        <w:t>bola v priamej podriadenosti náčelníka Generálneho štábu rovnako ako ostatné útvary ČSĽA (tankisti, letci, spojári, raketové vojsko, atd.), to znamená, že bola pod vojenským a nie politickým vedením štátu. Z</w:t>
      </w:r>
      <w:r w:rsidR="00821A44" w:rsidRPr="006230AA">
        <w:t xml:space="preserve">odpovedala za </w:t>
      </w:r>
      <w:r w:rsidR="00FD489F" w:rsidRPr="006230AA">
        <w:t>riadenie agentúrnych prostriedkov v zahraničí, vojenských diplomatov, prostr</w:t>
      </w:r>
      <w:r w:rsidR="00A62A02" w:rsidRPr="006230AA">
        <w:t>iedkov elektronického prieskumu a</w:t>
      </w:r>
      <w:r w:rsidR="00FD489F" w:rsidRPr="006230AA">
        <w:t xml:space="preserve">  niektorých šp</w:t>
      </w:r>
      <w:r w:rsidR="00DD1B50" w:rsidRPr="006230AA">
        <w:t xml:space="preserve">eciálnych výsadkových </w:t>
      </w:r>
      <w:r w:rsidR="000D461F" w:rsidRPr="006230AA">
        <w:t>jednotiek. Hlavnou úlohou ZS/GŠ, rovnako ako Vojenskej spravodajskej služby</w:t>
      </w:r>
      <w:r w:rsidR="00DD1B50" w:rsidRPr="006230AA">
        <w:t xml:space="preserve"> v súčasnej dobe</w:t>
      </w:r>
      <w:r w:rsidR="000D461F">
        <w:t>,</w:t>
      </w:r>
      <w:r w:rsidR="00DD1B50">
        <w:t xml:space="preserve"> bolo</w:t>
      </w:r>
      <w:r w:rsidR="00FD489F">
        <w:t xml:space="preserve"> </w:t>
      </w:r>
      <w:r w:rsidR="00821A44" w:rsidRPr="004B3821">
        <w:t xml:space="preserve">získavanie a vyhodnocovanie správ a informácii vojensko-politického, vojensko-technického, vojensko-ekonomického a vojenského charakteru o pravdepodobnom protivníkovi pre Generálny štáb, MO ČSFR, velenie ozbrojených síl, štáby a vojská ČSĽA. Príslušníci ZS/GŠ získavali a centrálne vyhodnocovali správy a spracovali spravodajské podklady pre potrebu obrany ČSFR. ZS/GŠ nemala </w:t>
      </w:r>
      <w:r w:rsidR="00DD1B50" w:rsidRPr="006230AA">
        <w:t>k dispozícii</w:t>
      </w:r>
      <w:r w:rsidR="00DD1B50">
        <w:t xml:space="preserve"> </w:t>
      </w:r>
      <w:r w:rsidR="00821A44" w:rsidRPr="004B3821">
        <w:t>vlastnú sledovačku, nemala práva orgánov činných v trestnom konaní a neplnila úlohy vo vzťahu k tzv. vnútornému nepriateľovi. Činnosť ZS/GŠ bola zameraná na zahraničie a v rámci teritóri</w:t>
      </w:r>
      <w:r w:rsidR="00DD1B50">
        <w:t xml:space="preserve">a ČSFR </w:t>
      </w:r>
      <w:r>
        <w:t>boli</w:t>
      </w:r>
      <w:r w:rsidR="00821A44" w:rsidRPr="004B3821">
        <w:t xml:space="preserve"> pln</w:t>
      </w:r>
      <w:r w:rsidR="00DD1B50">
        <w:t>ené</w:t>
      </w:r>
      <w:r w:rsidR="00821A44" w:rsidRPr="004B3821">
        <w:t xml:space="preserve"> len pomocne úlohy predovšetkým vo vzťahu k agentúrnemu zabezpečeniu plnenia úloh v zahraničí. V žiadnom prípade sa nepodieľala na plnení úloh, ktoré by obmedzovali slobodu alebo</w:t>
      </w:r>
      <w:r w:rsidR="00DD1B50">
        <w:t xml:space="preserve"> </w:t>
      </w:r>
      <w:r w:rsidR="00DD1B50" w:rsidRPr="006230AA">
        <w:t>porušovali</w:t>
      </w:r>
      <w:r w:rsidR="00821A44" w:rsidRPr="004B3821">
        <w:t xml:space="preserve"> ľudské práva občanov ČSFR.</w:t>
      </w:r>
    </w:p>
    <w:p w14:paraId="2898E57E" w14:textId="77777777" w:rsidR="00821A44" w:rsidRPr="004B3821" w:rsidRDefault="00821A44" w:rsidP="00821A44">
      <w:pPr>
        <w:spacing w:line="276" w:lineRule="auto"/>
        <w:ind w:firstLine="284"/>
        <w:jc w:val="both"/>
        <w:rPr>
          <w:b/>
        </w:rPr>
      </w:pPr>
    </w:p>
    <w:p w14:paraId="0CA8DC82" w14:textId="77777777" w:rsidR="00821A44" w:rsidRPr="004B3821" w:rsidRDefault="00821A44" w:rsidP="00821A44">
      <w:pPr>
        <w:spacing w:line="276" w:lineRule="auto"/>
        <w:ind w:firstLine="284"/>
        <w:jc w:val="both"/>
      </w:pPr>
      <w:r w:rsidRPr="004B3821">
        <w:rPr>
          <w:b/>
        </w:rPr>
        <w:t xml:space="preserve">Stručné   zhrnutie   podstatných    skutočností  </w:t>
      </w:r>
    </w:p>
    <w:p w14:paraId="45201083" w14:textId="0539BA4A" w:rsidR="00821A44" w:rsidRPr="006230AA" w:rsidRDefault="00821A44" w:rsidP="00E863A4">
      <w:pPr>
        <w:pStyle w:val="Odsekzoznamu"/>
        <w:numPr>
          <w:ilvl w:val="0"/>
          <w:numId w:val="2"/>
        </w:numPr>
        <w:jc w:val="both"/>
        <w:rPr>
          <w:shd w:val="clear" w:color="auto" w:fill="FFFFFF"/>
        </w:rPr>
      </w:pPr>
      <w:r w:rsidRPr="006230AA">
        <w:rPr>
          <w:shd w:val="clear" w:color="auto" w:fill="FFFFFF"/>
        </w:rPr>
        <w:t xml:space="preserve">Navrhovateľ  v  predkladanom návrhu  zákona  porušuje princíp   zákazu   retroaktivity. Zákaz retroaktivity je jeden zo základných právnych princípov demokratickej spoločnosti zaručujúci právnu istotu a stabilitu  štátu. Retroaktivita sa však pripúšťa v trestnom práve v rámci princípu prospešnosti -  článok 50  ods.6   Ústavy   SR .  </w:t>
      </w:r>
    </w:p>
    <w:p w14:paraId="7A264EA6" w14:textId="011643B4" w:rsidR="00821A44" w:rsidRPr="006230AA" w:rsidRDefault="00821A44" w:rsidP="006230AA">
      <w:pPr>
        <w:pStyle w:val="Odsekzoznamu"/>
        <w:numPr>
          <w:ilvl w:val="0"/>
          <w:numId w:val="2"/>
        </w:numPr>
        <w:jc w:val="both"/>
        <w:rPr>
          <w:shd w:val="clear" w:color="auto" w:fill="FFFFFF"/>
        </w:rPr>
      </w:pPr>
      <w:r w:rsidRPr="004B3821">
        <w:t xml:space="preserve">Ukončením </w:t>
      </w:r>
      <w:r w:rsidR="008D06AC" w:rsidRPr="004B3821">
        <w:t xml:space="preserve"> služobného   pomeru  dochádza aj</w:t>
      </w:r>
      <w:r w:rsidRPr="004B3821">
        <w:t> k ukončeniu  právneho  vzťahu medzi  štátom  a fyzickou  osobou -  vojakom    profesionálom alebo policajtom. Z tohto   právneho vzťahu  vzniká štátu presne   špecifikovaná povinnosť a fyzickej   osobe  nárok,     v našich   podmienkach  na   výsluhový  dôchodok,   podľa  platného   zákona  č. 328/2002 Z.z.  Akýkoľvek    budúci  zásah  štátu do   obsahu tohto  vzťahu je   jednostranným  zásahom  s retroaktívnymi  dôsledkami</w:t>
      </w:r>
      <w:r w:rsidR="00E863A4">
        <w:t>.</w:t>
      </w:r>
    </w:p>
    <w:p w14:paraId="2AA42713" w14:textId="0B7351A4" w:rsidR="00821A44" w:rsidRPr="004B3821" w:rsidRDefault="00821A44" w:rsidP="006230AA">
      <w:pPr>
        <w:pStyle w:val="Odsekzoznamu"/>
        <w:numPr>
          <w:ilvl w:val="0"/>
          <w:numId w:val="2"/>
        </w:numPr>
        <w:jc w:val="both"/>
      </w:pPr>
      <w:r w:rsidRPr="004B3821">
        <w:t>K základným znakom právneho štátu patrí tiež požiadavka právnej istoty, ktorej „neopomenuteľným komponentom je predvídateľnosť práva“, pričom  predkladateľ  návrhu  zákona nesystémovo vstupuje do  inštitútu výsluhového dôchodku, ktorý je dlhodobo zakotvený v právnom poriadku Slovenskej republiky. Ide o realizáciu ústavne garantovaného práva na primerané hmotné zabezpečenie v starobe podľa čl. 39 Ústavy SR a čl. 30 Listiny základných práv a slobôd  v nadväznosti    na  výkon  služby  limitovaný  dobou    a výškou  príjmu.</w:t>
      </w:r>
    </w:p>
    <w:p w14:paraId="621CDCB3" w14:textId="0CAE7FA6" w:rsidR="006230AA" w:rsidRDefault="00821A44" w:rsidP="006230AA">
      <w:pPr>
        <w:pStyle w:val="Odsekzoznamu"/>
        <w:numPr>
          <w:ilvl w:val="0"/>
          <w:numId w:val="2"/>
        </w:numPr>
        <w:jc w:val="both"/>
        <w:rPr>
          <w:shd w:val="clear" w:color="auto" w:fill="FFFFFF"/>
        </w:rPr>
      </w:pPr>
      <w:r w:rsidRPr="006230AA">
        <w:rPr>
          <w:shd w:val="clear" w:color="auto" w:fill="FFFFFF"/>
        </w:rPr>
        <w:t xml:space="preserve">Zavedením  retroaktívneho dodatočného  zrušenia doby   zápočtu   reálne  vykonanej   služby  v  armáde už  priznaného  výsluhového dôchodku  dochádza k hrubému   zásahu k už nadobudnutému majetkovému   právu na   jeho  výplatu   v určenej /stanovenej/   výške. Ide  o porušenie   ústavného princípu   právnej   istoty  a ochrany   už v  minulosti nadobudnutých   práv. Keď   použijeme   argument „ ad absurdum“, tak   by  sa  štát  mohol v prípade   jeho   záujmu, potreby vyviazať   celkom   alebo   z časti   zo  svojich   </w:t>
      </w:r>
      <w:r w:rsidRPr="006230AA">
        <w:rPr>
          <w:shd w:val="clear" w:color="auto" w:fill="FFFFFF"/>
        </w:rPr>
        <w:lastRenderedPageBreak/>
        <w:t>záväzkov   účelovou  zmenou právnych   noriem.  Takýto   prístup je v rozpore  s podstatnými   princípmi demokratického  právneho   štátu.</w:t>
      </w:r>
    </w:p>
    <w:p w14:paraId="41FBBC43" w14:textId="1D63AF4A" w:rsidR="00821A44" w:rsidRPr="00E863A4" w:rsidRDefault="00821A44" w:rsidP="006230AA">
      <w:pPr>
        <w:pStyle w:val="Odsekzoznamu"/>
        <w:numPr>
          <w:ilvl w:val="0"/>
          <w:numId w:val="2"/>
        </w:numPr>
        <w:jc w:val="both"/>
        <w:rPr>
          <w:shd w:val="clear" w:color="auto" w:fill="FFFFFF"/>
        </w:rPr>
      </w:pPr>
      <w:r w:rsidRPr="004B3821">
        <w:t xml:space="preserve">Okrem princípu kolektívnej viny je prípadný  návrh  Zákona </w:t>
      </w:r>
      <w:r w:rsidRPr="00E863A4">
        <w:t>o o</w:t>
      </w:r>
      <w:r w:rsidRPr="006230AA">
        <w:rPr>
          <w:bCs/>
        </w:rPr>
        <w:t>dobratí nezaslúžených benefitov predstaviteľom komunistického režimu</w:t>
      </w:r>
      <w:r w:rsidRPr="004B3821">
        <w:t>,  odtrhnutý od právneho a faktického vývoja v spravodajských a bezpečnostných zložkách armády Českej a Slovenskej federatívnej republiky po roku 1989 a po roku 1993 aj v OS SR pretože:</w:t>
      </w:r>
    </w:p>
    <w:p w14:paraId="425DCBAF" w14:textId="77777777" w:rsidR="00E408D9" w:rsidRDefault="00E408D9" w:rsidP="00E408D9">
      <w:pPr>
        <w:jc w:val="both"/>
      </w:pPr>
    </w:p>
    <w:p w14:paraId="71721F05" w14:textId="33403C80" w:rsidR="00821A44" w:rsidRPr="004B3821" w:rsidRDefault="00821A44" w:rsidP="00E408D9">
      <w:pPr>
        <w:ind w:firstLine="284"/>
        <w:jc w:val="both"/>
      </w:pPr>
      <w:r w:rsidRPr="004B3821">
        <w:t>Príslušníci VKR</w:t>
      </w:r>
      <w:r w:rsidR="006230AA">
        <w:t>/VOS</w:t>
      </w:r>
      <w:r w:rsidRPr="004B3821">
        <w:t xml:space="preserve"> a ZS/GŠ prešli opakovane v rokoch 1990 – 1991  previerkami občianskych komisii a dobrovoľnými  reatestáciami pričom:</w:t>
      </w:r>
    </w:p>
    <w:p w14:paraId="421CE400" w14:textId="11C3DF14" w:rsidR="00821A44" w:rsidRPr="004B3821" w:rsidRDefault="00821A44" w:rsidP="00E408D9">
      <w:pPr>
        <w:pStyle w:val="Bezriadkovania"/>
        <w:spacing w:line="276" w:lineRule="auto"/>
        <w:jc w:val="both"/>
        <w:rPr>
          <w:rFonts w:ascii="Times New Roman" w:hAnsi="Times New Roman"/>
          <w:sz w:val="24"/>
          <w:szCs w:val="24"/>
        </w:rPr>
      </w:pPr>
      <w:r w:rsidRPr="004B3821">
        <w:rPr>
          <w:rFonts w:ascii="Times New Roman" w:hAnsi="Times New Roman"/>
          <w:b/>
          <w:sz w:val="24"/>
          <w:szCs w:val="24"/>
        </w:rPr>
        <w:t>Dobrovoľné reatestácie   boli   právnym    aktom</w:t>
      </w:r>
      <w:r w:rsidRPr="004B3821">
        <w:rPr>
          <w:rFonts w:ascii="Times New Roman" w:hAnsi="Times New Roman"/>
          <w:sz w:val="24"/>
          <w:szCs w:val="24"/>
        </w:rPr>
        <w:t xml:space="preserve"> </w:t>
      </w:r>
      <w:r w:rsidRPr="004B3821">
        <w:rPr>
          <w:rFonts w:ascii="Times New Roman" w:hAnsi="Times New Roman"/>
          <w:sz w:val="24"/>
          <w:szCs w:val="24"/>
          <w:lang w:eastAsia="sk-SK"/>
        </w:rPr>
        <w:t xml:space="preserve">v súlade s RMO (Rozkaz ministra obrany) č. 015/1990 zo dňa 26. 11. 1990 </w:t>
      </w:r>
      <w:r w:rsidRPr="004B3821">
        <w:rPr>
          <w:rFonts w:ascii="Times New Roman" w:hAnsi="Times New Roman"/>
          <w:sz w:val="24"/>
          <w:szCs w:val="24"/>
        </w:rPr>
        <w:t>a uznesením branných  a bezpečnostných  výborov  Federálneho   zhromaždenia  ČSFR zo dňa 18. decembra 1990 č. 47 o vysielaní poslancov Federálneho   zhromaždenia  ČSFR do previerkových  komisii  Ministerst</w:t>
      </w:r>
      <w:r w:rsidR="008D06AC" w:rsidRPr="004B3821">
        <w:rPr>
          <w:rFonts w:ascii="Times New Roman" w:hAnsi="Times New Roman"/>
          <w:sz w:val="24"/>
          <w:szCs w:val="24"/>
        </w:rPr>
        <w:t xml:space="preserve">va  obrany ČSFR , čo potvrdil aj </w:t>
      </w:r>
      <w:r w:rsidRPr="004B3821">
        <w:rPr>
          <w:rFonts w:ascii="Times New Roman" w:hAnsi="Times New Roman"/>
          <w:sz w:val="24"/>
          <w:szCs w:val="24"/>
        </w:rPr>
        <w:t>Ústavný   súd ČR  napr. v uznesení    US 435/04   a výsledky  reatestacii  sa   premietli   do  Českého   zákona  o vojácich   č. 221/1999 Sb ,</w:t>
      </w:r>
      <w:r w:rsidR="00E863A4">
        <w:rPr>
          <w:rFonts w:ascii="Times New Roman" w:hAnsi="Times New Roman"/>
          <w:sz w:val="24"/>
          <w:szCs w:val="24"/>
        </w:rPr>
        <w:t xml:space="preserve"> </w:t>
      </w:r>
      <w:r w:rsidRPr="004B3821">
        <w:rPr>
          <w:rFonts w:ascii="Times New Roman" w:hAnsi="Times New Roman"/>
          <w:sz w:val="24"/>
          <w:szCs w:val="24"/>
        </w:rPr>
        <w:t>§165ods.7,</w:t>
      </w:r>
      <w:r w:rsidR="00E863A4">
        <w:rPr>
          <w:rFonts w:ascii="Times New Roman" w:hAnsi="Times New Roman"/>
          <w:sz w:val="24"/>
          <w:szCs w:val="24"/>
        </w:rPr>
        <w:t xml:space="preserve"> </w:t>
      </w:r>
      <w:r w:rsidRPr="004B3821">
        <w:rPr>
          <w:rFonts w:ascii="Times New Roman" w:hAnsi="Times New Roman"/>
          <w:sz w:val="24"/>
          <w:szCs w:val="24"/>
        </w:rPr>
        <w:t xml:space="preserve">kde týmto   zákonom  bol  zrušený  zákon </w:t>
      </w:r>
      <w:r w:rsidR="00E863A4">
        <w:rPr>
          <w:rFonts w:ascii="Times New Roman" w:hAnsi="Times New Roman"/>
          <w:sz w:val="24"/>
          <w:szCs w:val="24"/>
        </w:rPr>
        <w:t xml:space="preserve">č. </w:t>
      </w:r>
      <w:r w:rsidRPr="004B3821">
        <w:rPr>
          <w:rFonts w:ascii="Times New Roman" w:hAnsi="Times New Roman"/>
          <w:sz w:val="24"/>
          <w:szCs w:val="24"/>
        </w:rPr>
        <w:t>34/1995,  kde došlo v českej  armáde tiež  k retro</w:t>
      </w:r>
      <w:r w:rsidR="00E863A4">
        <w:rPr>
          <w:rFonts w:ascii="Times New Roman" w:hAnsi="Times New Roman"/>
          <w:sz w:val="24"/>
          <w:szCs w:val="24"/>
        </w:rPr>
        <w:t>a</w:t>
      </w:r>
      <w:r w:rsidRPr="004B3821">
        <w:rPr>
          <w:rFonts w:ascii="Times New Roman" w:hAnsi="Times New Roman"/>
          <w:sz w:val="24"/>
          <w:szCs w:val="24"/>
        </w:rPr>
        <w:t>ktívnemu   zrušeniu  zápočtu  rokov</w:t>
      </w:r>
      <w:r w:rsidR="00E863A4">
        <w:rPr>
          <w:rFonts w:ascii="Times New Roman" w:hAnsi="Times New Roman"/>
          <w:sz w:val="24"/>
          <w:szCs w:val="24"/>
        </w:rPr>
        <w:t xml:space="preserve"> </w:t>
      </w:r>
      <w:r w:rsidRPr="004B3821">
        <w:rPr>
          <w:rFonts w:ascii="Times New Roman" w:hAnsi="Times New Roman"/>
          <w:sz w:val="24"/>
          <w:szCs w:val="24"/>
        </w:rPr>
        <w:t>u reatestovaných príslušníkov.</w:t>
      </w:r>
      <w:r w:rsidRPr="004B3821">
        <w:rPr>
          <w:rFonts w:ascii="Times New Roman" w:hAnsi="Times New Roman"/>
          <w:b/>
          <w:i/>
          <w:sz w:val="24"/>
          <w:szCs w:val="24"/>
        </w:rPr>
        <w:t xml:space="preserve"> Toto rozhodnutie reatestačnej komisie bolo rešpektované pre výkon služby v armáde ČSFR a aj v Armáde Slovenskej republiky aj v nasledujúcich rokoch. Nikdy za uplynulých 30 rokov nedošlo k spochybňovaniu tohto rozhodnutia.</w:t>
      </w:r>
    </w:p>
    <w:p w14:paraId="1668B9DA" w14:textId="77777777" w:rsidR="00E408D9" w:rsidRDefault="00E408D9" w:rsidP="006230AA">
      <w:pPr>
        <w:pStyle w:val="Bezriadkovania"/>
        <w:spacing w:line="276" w:lineRule="auto"/>
        <w:ind w:firstLine="284"/>
        <w:jc w:val="both"/>
        <w:rPr>
          <w:rFonts w:ascii="Times New Roman" w:hAnsi="Times New Roman"/>
          <w:sz w:val="24"/>
          <w:szCs w:val="24"/>
        </w:rPr>
      </w:pPr>
    </w:p>
    <w:p w14:paraId="2358C53C" w14:textId="235BDE37" w:rsidR="006230AA" w:rsidRDefault="00821A44" w:rsidP="006230AA">
      <w:pPr>
        <w:pStyle w:val="Bezriadkovania"/>
        <w:spacing w:line="276" w:lineRule="auto"/>
        <w:ind w:firstLine="284"/>
        <w:jc w:val="both"/>
        <w:rPr>
          <w:rFonts w:ascii="Times New Roman" w:hAnsi="Times New Roman"/>
          <w:sz w:val="24"/>
          <w:szCs w:val="24"/>
        </w:rPr>
      </w:pPr>
      <w:r w:rsidRPr="004B3821">
        <w:rPr>
          <w:rFonts w:ascii="Times New Roman" w:hAnsi="Times New Roman"/>
          <w:sz w:val="24"/>
          <w:szCs w:val="24"/>
        </w:rPr>
        <w:t>Uvedený postup bol vykonaný len v Armáde ČSFR. V ozbrojených silách  Poľska, Maďarska  a Nemecka takýto náročný  reatestačný  previerkový postup spôsobilosti   vykonávať  službu  v armáde   nebol  aplikovaný. Z tohto  titulu aplikovať  riešenie   situácie v týchto   krajinách  na   riešenie  situácie  v armáde  ČSFR   je    právne neopodstatnené.  Bohužiaľ  predkladateľ  návrhu zákona situáciu  vzhľadom na  fakt,  že   išlo  o federálnu  armádu a spôsob  riešenia by  mal  byť   analogický  ako  v českej  armáde</w:t>
      </w:r>
      <w:r w:rsidR="003567BC">
        <w:rPr>
          <w:rFonts w:ascii="Times New Roman" w:hAnsi="Times New Roman"/>
          <w:sz w:val="24"/>
          <w:szCs w:val="24"/>
        </w:rPr>
        <w:t>,</w:t>
      </w:r>
      <w:r w:rsidRPr="004B3821">
        <w:rPr>
          <w:rFonts w:ascii="Times New Roman" w:hAnsi="Times New Roman"/>
          <w:sz w:val="24"/>
          <w:szCs w:val="24"/>
        </w:rPr>
        <w:t xml:space="preserve"> ignoruje  a tiež ignoruje   výsledok   reatestáci</w:t>
      </w:r>
      <w:r w:rsidR="003567BC">
        <w:rPr>
          <w:rFonts w:ascii="Times New Roman" w:hAnsi="Times New Roman"/>
          <w:sz w:val="24"/>
          <w:szCs w:val="24"/>
        </w:rPr>
        <w:t>í</w:t>
      </w:r>
      <w:r w:rsidRPr="004B3821">
        <w:rPr>
          <w:rFonts w:ascii="Times New Roman" w:hAnsi="Times New Roman"/>
          <w:sz w:val="24"/>
          <w:szCs w:val="24"/>
        </w:rPr>
        <w:t xml:space="preserve">. Predmetný  návrh  zákona  skôr  vykazuje   znaky  odplaty </w:t>
      </w:r>
      <w:r w:rsidR="006230AA">
        <w:rPr>
          <w:rFonts w:ascii="Times New Roman" w:hAnsi="Times New Roman"/>
          <w:sz w:val="24"/>
          <w:szCs w:val="24"/>
        </w:rPr>
        <w:t>(</w:t>
      </w:r>
      <w:r w:rsidRPr="004B3821">
        <w:rPr>
          <w:rFonts w:ascii="Times New Roman" w:hAnsi="Times New Roman"/>
          <w:sz w:val="24"/>
          <w:szCs w:val="24"/>
        </w:rPr>
        <w:t>revanšu</w:t>
      </w:r>
      <w:r w:rsidR="006230AA">
        <w:rPr>
          <w:rFonts w:ascii="Times New Roman" w:hAnsi="Times New Roman"/>
          <w:sz w:val="24"/>
          <w:szCs w:val="24"/>
        </w:rPr>
        <w:t>)</w:t>
      </w:r>
      <w:r w:rsidRPr="004B3821">
        <w:rPr>
          <w:rFonts w:ascii="Times New Roman" w:hAnsi="Times New Roman"/>
          <w:sz w:val="24"/>
          <w:szCs w:val="24"/>
        </w:rPr>
        <w:t>.</w:t>
      </w:r>
    </w:p>
    <w:p w14:paraId="69639E1A" w14:textId="6581103C" w:rsidR="00821A44" w:rsidRPr="004B3821" w:rsidRDefault="00821A44" w:rsidP="006230AA">
      <w:pPr>
        <w:pStyle w:val="Bezriadkovania"/>
        <w:spacing w:line="276" w:lineRule="auto"/>
        <w:ind w:firstLine="284"/>
        <w:jc w:val="both"/>
        <w:rPr>
          <w:rFonts w:ascii="Times New Roman" w:hAnsi="Times New Roman"/>
          <w:color w:val="FF0000"/>
        </w:rPr>
      </w:pPr>
      <w:r w:rsidRPr="004B3821">
        <w:rPr>
          <w:rFonts w:ascii="Times New Roman" w:hAnsi="Times New Roman"/>
          <w:sz w:val="24"/>
          <w:szCs w:val="24"/>
        </w:rPr>
        <w:t xml:space="preserve"> </w:t>
      </w:r>
    </w:p>
    <w:p w14:paraId="2DB53DF0" w14:textId="77777777" w:rsidR="00821A44" w:rsidRPr="004B3821" w:rsidRDefault="00821A44" w:rsidP="006230AA">
      <w:pPr>
        <w:ind w:firstLine="284"/>
        <w:jc w:val="both"/>
      </w:pPr>
      <w:r w:rsidRPr="004B3821">
        <w:rPr>
          <w:b/>
        </w:rPr>
        <w:t>Záver</w:t>
      </w:r>
    </w:p>
    <w:p w14:paraId="7275E5AA" w14:textId="77777777" w:rsidR="006230AA" w:rsidRDefault="006230AA" w:rsidP="006230AA">
      <w:pPr>
        <w:ind w:firstLine="284"/>
        <w:jc w:val="both"/>
      </w:pPr>
    </w:p>
    <w:p w14:paraId="241610BD" w14:textId="0599A42A" w:rsidR="00821A44" w:rsidRPr="004B3821" w:rsidRDefault="00821A44" w:rsidP="006230AA">
      <w:pPr>
        <w:ind w:firstLine="284"/>
        <w:jc w:val="both"/>
      </w:pPr>
      <w:r w:rsidRPr="004B3821">
        <w:t>Komunita bývalých vojakov profesionálov  zaradených v</w:t>
      </w:r>
      <w:r w:rsidR="003567BC">
        <w:t> </w:t>
      </w:r>
      <w:r w:rsidRPr="004B3821">
        <w:t>minulosti</w:t>
      </w:r>
      <w:r w:rsidR="003567BC">
        <w:t xml:space="preserve"> </w:t>
      </w:r>
      <w:r w:rsidRPr="004B3821">
        <w:t>v spravodajských a bezpečnostných zložkách  Armády SR na  základe vyššie uvedeného   žiada, aby návrh zákona P</w:t>
      </w:r>
      <w:r w:rsidR="007A45E2">
        <w:t xml:space="preserve">T č. 0516, ktorý je  v rozpore </w:t>
      </w:r>
      <w:r w:rsidRPr="004B3821">
        <w:t xml:space="preserve"> so slovenskou a európskou legislatívou bol stiahnutý z rokovania NR SR,    alebo  z   </w:t>
      </w:r>
      <w:r w:rsidRPr="004B3821">
        <w:rPr>
          <w:b/>
          <w:bCs/>
          <w:i/>
          <w:iCs/>
        </w:rPr>
        <w:t>predmetného  návrhu   zákona PT č. 0516 vypustená minimálne   časť týkajúca  sa  nezapočítania doby  služby  v týchto  spravodajských  inštitúciách pred  rokom 1990 do výpočtu výsluhových dôchodkov tých bývalých príslušníkov spravodajských a bezpečnostných  služieb, ktorí i po roku 1990-200</w:t>
      </w:r>
      <w:r w:rsidR="00F323E8" w:rsidRPr="004B3821">
        <w:rPr>
          <w:b/>
          <w:bCs/>
          <w:i/>
          <w:iCs/>
        </w:rPr>
        <w:t>4</w:t>
      </w:r>
      <w:r w:rsidRPr="004B3821">
        <w:rPr>
          <w:b/>
          <w:bCs/>
          <w:i/>
          <w:iCs/>
        </w:rPr>
        <w:t>  boli spôsobilí vykonávať službu v armáde ČSFR a  po zániku ČSFR i v Armáde Slovenskej republiky a to doplnením   do</w:t>
      </w:r>
      <w:r w:rsidRPr="004B3821">
        <w:rPr>
          <w:b/>
          <w:bCs/>
        </w:rPr>
        <w:t xml:space="preserve">  </w:t>
      </w:r>
      <w:r w:rsidRPr="003567BC">
        <w:rPr>
          <w:b/>
          <w:bCs/>
          <w:i/>
          <w:iCs/>
        </w:rPr>
        <w:t>navrhovaného  zákona, ako  výnimku, ktorá by   i naďalej  deklarovala /nespochybňovala/ dobu</w:t>
      </w:r>
      <w:r w:rsidRPr="004B3821">
        <w:rPr>
          <w:b/>
          <w:bCs/>
        </w:rPr>
        <w:t xml:space="preserve"> </w:t>
      </w:r>
      <w:r w:rsidRPr="004B3821">
        <w:t>služby v spravodajských a bezpečnostných zložkách  pre  výpočet výsluhového dôchodku   tejto  kategórie.</w:t>
      </w:r>
    </w:p>
    <w:p w14:paraId="604C4AEE" w14:textId="77777777" w:rsidR="00DD1B50" w:rsidRDefault="00821A44" w:rsidP="006230AA">
      <w:pPr>
        <w:spacing w:before="100" w:beforeAutospacing="1"/>
        <w:ind w:firstLine="284"/>
        <w:jc w:val="both"/>
      </w:pPr>
      <w:r w:rsidRPr="006230AA">
        <w:rPr>
          <w:b/>
          <w:bCs/>
          <w:i/>
          <w:iCs/>
        </w:rPr>
        <w:t>Dôvodom hodným osobitného zreteľa  je  i skutočnosť, že VKR nebola nikdy zrušená</w:t>
      </w:r>
      <w:r w:rsidRPr="004B3821">
        <w:t xml:space="preserve">, ako je vyššie zdôraznené, ale uznesením predsedníctva vlády ČSSR č. 3 a 4 z roku 1990 bola prevedená z pôsobnosti FMV do pôsobnosti FMNO, čo jednoznačne poukazuje na fakt, že </w:t>
      </w:r>
      <w:r w:rsidRPr="004B3821">
        <w:lastRenderedPageBreak/>
        <w:t xml:space="preserve">politickí predstavitelia porevolučnej vlády ČSFR, predmetným právnym aktom, jasne vyhodnotili, že činnosť a  funkčné zameranie VKR nepredstavovalo problém v minulosti z hľadiska porušovania právnych predpisov a  nepredstavovalo problém pre novú politickú orientáciu štátu. Zároveň je toho dôkazom i niekoľkokrát citovaný RMO č. 015/1990 zo dňa 26.11.1990 v  spojitosti  s  uznesením branných  a bezpečnostných  výborov  Federálneho   zhromaždenia  ČSFR zo dňa 18. decembra 1990 č. 47 o vysielaní poslancov Federálneho   zhromaždenia  ČSFR do previerkových  komisii  Ministerstva  obrany ČSFR na vykonanie  dobrovoľných reatestáciách dôstojníkov Vojenského obranného spravodajstva predtým   zaradených  vo   VKR. </w:t>
      </w:r>
    </w:p>
    <w:p w14:paraId="26404D60" w14:textId="2483919E" w:rsidR="00673ADA" w:rsidRPr="006230AA" w:rsidRDefault="00DD1B50" w:rsidP="00821A44">
      <w:pPr>
        <w:spacing w:before="100" w:beforeAutospacing="1"/>
        <w:ind w:firstLine="284"/>
        <w:jc w:val="both"/>
      </w:pPr>
      <w:r w:rsidRPr="006230AA">
        <w:t xml:space="preserve">ZS/GŠ vykonávala bez akýchkoľvek problémov </w:t>
      </w:r>
      <w:r w:rsidR="00BA38F1" w:rsidRPr="006230AA">
        <w:t xml:space="preserve">aj </w:t>
      </w:r>
      <w:r w:rsidRPr="006230AA">
        <w:t xml:space="preserve">po politických zmenách v roku 1989 </w:t>
      </w:r>
      <w:r w:rsidR="00BA38F1" w:rsidRPr="006230AA">
        <w:t>svoju spravodajskú činnosť v súlade s celkovými politickými zmenami v Európe a konkrétne v strednej Európe. Poskytovala informácie pre OS ČSFR</w:t>
      </w:r>
      <w:r w:rsidR="003567BC">
        <w:t>,</w:t>
      </w:r>
      <w:r w:rsidR="00BA38F1" w:rsidRPr="006230AA">
        <w:t xml:space="preserve"> ktoré boli nutné pri zabezpečovaní obrany a bezpečnosti ČSFR po vzniku bezpečnostného vákua v strednej Európe. Vzniknutá situácia si vyžadovala bezprostredne riešiť otázky spravodajského zabezpečenia a kontrarozviednej ochrany vojsk. Bez kvalitnej</w:t>
      </w:r>
      <w:r w:rsidR="00673ADA" w:rsidRPr="006230AA">
        <w:t xml:space="preserve"> vysoko profesionálnej </w:t>
      </w:r>
      <w:r w:rsidR="00BA38F1" w:rsidRPr="006230AA">
        <w:t xml:space="preserve"> práce profesionálnych vojakov, ktorí prešli previerkovými komisiami</w:t>
      </w:r>
      <w:r w:rsidR="003567BC">
        <w:t>,</w:t>
      </w:r>
      <w:r w:rsidR="00BA38F1" w:rsidRPr="006230AA">
        <w:t xml:space="preserve"> by tieto úlohy nebolo možn</w:t>
      </w:r>
      <w:r w:rsidR="003567BC">
        <w:t>é</w:t>
      </w:r>
      <w:r w:rsidR="00BA38F1" w:rsidRPr="006230AA">
        <w:t xml:space="preserve"> splniť</w:t>
      </w:r>
      <w:r w:rsidR="00673ADA" w:rsidRPr="006230AA">
        <w:t xml:space="preserve"> v tak krátkom čase a naša nová vlasť by ostala hluchá a slepá bez spravodajskej a kontrarozviednej ochrany.</w:t>
      </w:r>
      <w:r w:rsidR="00FB1CB7" w:rsidRPr="006230AA">
        <w:t xml:space="preserve"> </w:t>
      </w:r>
      <w:r w:rsidR="00673ADA" w:rsidRPr="006230AA">
        <w:t>Na záver je treba dodať, že vďaka týmto profesionálnym vojakom, ktorí by mali byť postihnutí navrhovaným zákonom a</w:t>
      </w:r>
      <w:r w:rsidR="003567BC">
        <w:t> </w:t>
      </w:r>
      <w:r w:rsidR="00673ADA" w:rsidRPr="003567BC">
        <w:rPr>
          <w:color w:val="FF0000"/>
        </w:rPr>
        <w:t>de</w:t>
      </w:r>
      <w:r w:rsidR="003567BC" w:rsidRPr="003567BC">
        <w:rPr>
          <w:color w:val="FF0000"/>
        </w:rPr>
        <w:t xml:space="preserve"> </w:t>
      </w:r>
      <w:r w:rsidR="00673ADA" w:rsidRPr="003567BC">
        <w:rPr>
          <w:color w:val="FF0000"/>
        </w:rPr>
        <w:t>fa</w:t>
      </w:r>
      <w:r w:rsidR="00C82FCC" w:rsidRPr="003567BC">
        <w:rPr>
          <w:color w:val="FF0000"/>
        </w:rPr>
        <w:t>c</w:t>
      </w:r>
      <w:r w:rsidR="00673ADA" w:rsidRPr="003567BC">
        <w:rPr>
          <w:color w:val="FF0000"/>
        </w:rPr>
        <w:t xml:space="preserve">to </w:t>
      </w:r>
      <w:r w:rsidR="00673ADA" w:rsidRPr="006230AA">
        <w:t xml:space="preserve">potrestaní za to, že prišli pomôcť svojej novovznikajúcej vlasti  po rozdelení ČSFR vybudovať zložky Vojenského spravodajstva a Vojenskej polície v pomerne krátkej dobe na vysokej profesionálnej úrovni. S určitosťou je možne konštatovať, že bez týchto ľudí by proces budovania  bezpečnostných a spravodajských služieb </w:t>
      </w:r>
      <w:r w:rsidR="00C82FCC" w:rsidRPr="006230AA">
        <w:t xml:space="preserve">trval dlho, </w:t>
      </w:r>
      <w:r w:rsidR="00673ADA" w:rsidRPr="006230AA">
        <w:t> s veľkými problémami a chybami pri ich tvorbe.</w:t>
      </w:r>
    </w:p>
    <w:p w14:paraId="71C9507B" w14:textId="013F84EA" w:rsidR="00673ADA" w:rsidRPr="006230AA" w:rsidRDefault="00C82FCC" w:rsidP="00821A44">
      <w:pPr>
        <w:spacing w:before="100" w:beforeAutospacing="1"/>
        <w:ind w:firstLine="284"/>
        <w:jc w:val="both"/>
      </w:pPr>
      <w:r w:rsidRPr="006230AA">
        <w:t>Na základe vyššie uvedeného vyzývame</w:t>
      </w:r>
      <w:r w:rsidR="00A72A05" w:rsidRPr="006230AA">
        <w:t xml:space="preserve"> najvyšších ústavných činiteľov</w:t>
      </w:r>
      <w:r w:rsidR="003567BC">
        <w:t xml:space="preserve"> </w:t>
      </w:r>
      <w:r w:rsidR="00A72A05" w:rsidRPr="006230AA">
        <w:t xml:space="preserve">Slovenskej republiky a </w:t>
      </w:r>
      <w:r w:rsidRPr="006230AA">
        <w:t>poslancov Národnej rady SR, aby</w:t>
      </w:r>
      <w:r w:rsidR="00A72A05" w:rsidRPr="006230AA">
        <w:t xml:space="preserve"> pri svojom rozhodovaní</w:t>
      </w:r>
      <w:r w:rsidRPr="006230AA">
        <w:t xml:space="preserve"> vza</w:t>
      </w:r>
      <w:r w:rsidR="00A72A05" w:rsidRPr="006230AA">
        <w:t xml:space="preserve">li do úvahy všetky skutočnosti </w:t>
      </w:r>
      <w:r w:rsidRPr="006230AA">
        <w:t xml:space="preserve">a prijali také riešenie, ktoré </w:t>
      </w:r>
      <w:r w:rsidR="00DA240B" w:rsidRPr="006230AA">
        <w:t xml:space="preserve">nebude v rozpore so základnými princípmi právneho systému demokratického štátu. </w:t>
      </w:r>
    </w:p>
    <w:p w14:paraId="029D5612" w14:textId="72055DF0" w:rsidR="00F323E8" w:rsidRPr="004B3821" w:rsidRDefault="006230AA" w:rsidP="00821A44">
      <w:pPr>
        <w:spacing w:before="100" w:beforeAutospacing="1"/>
        <w:ind w:firstLine="284"/>
        <w:jc w:val="both"/>
      </w:pPr>
      <w:r>
        <w:t>S</w:t>
      </w:r>
      <w:r w:rsidR="00BF47EA" w:rsidRPr="006230AA">
        <w:t xml:space="preserve">poločný dokument </w:t>
      </w:r>
      <w:r w:rsidR="000D461F" w:rsidRPr="006230AA">
        <w:t> vypracovali a s obsahom vyjadrujú súhlas nasledujúce profesijné združenia:</w:t>
      </w:r>
    </w:p>
    <w:p w14:paraId="2CB331D9" w14:textId="4AAE99D1" w:rsidR="007940A8" w:rsidRDefault="007940A8" w:rsidP="00E408D9">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408D9" w14:paraId="4CC1AF55" w14:textId="77777777" w:rsidTr="003C27DB">
        <w:tc>
          <w:tcPr>
            <w:tcW w:w="4531" w:type="dxa"/>
          </w:tcPr>
          <w:p w14:paraId="7EE5D336" w14:textId="07F61B71" w:rsidR="00A36318" w:rsidRDefault="00A36318" w:rsidP="006F5471">
            <w:pPr>
              <w:jc w:val="center"/>
            </w:pPr>
            <w:r>
              <w:t xml:space="preserve"> </w:t>
            </w:r>
          </w:p>
        </w:tc>
        <w:tc>
          <w:tcPr>
            <w:tcW w:w="4531" w:type="dxa"/>
          </w:tcPr>
          <w:p w14:paraId="51E4ACB0" w14:textId="078773B4" w:rsidR="00A36318" w:rsidRDefault="00A36318" w:rsidP="006F5471">
            <w:pPr>
              <w:jc w:val="center"/>
            </w:pPr>
          </w:p>
        </w:tc>
      </w:tr>
      <w:tr w:rsidR="006F5471" w14:paraId="5BF7F4EE" w14:textId="77777777" w:rsidTr="003C27DB">
        <w:tc>
          <w:tcPr>
            <w:tcW w:w="4531" w:type="dxa"/>
          </w:tcPr>
          <w:p w14:paraId="14F6FA31" w14:textId="77777777" w:rsidR="006F5471" w:rsidRDefault="006F5471" w:rsidP="006F5471">
            <w:pPr>
              <w:jc w:val="center"/>
            </w:pPr>
            <w:r w:rsidRPr="004B3821">
              <w:t xml:space="preserve">plk. v.v. Ing. Ján SOVJAK, PhD., v. </w:t>
            </w:r>
            <w:r>
              <w:t xml:space="preserve"> </w:t>
            </w:r>
            <w:r w:rsidRPr="004B3821">
              <w:t>r.</w:t>
            </w:r>
            <w:r>
              <w:t xml:space="preserve"> </w:t>
            </w:r>
          </w:p>
          <w:p w14:paraId="7015FCA7" w14:textId="61E8DB7A" w:rsidR="006F5471" w:rsidRDefault="006F5471" w:rsidP="006F5471">
            <w:pPr>
              <w:jc w:val="center"/>
              <w:rPr>
                <w:noProof/>
              </w:rPr>
            </w:pPr>
            <w:r w:rsidRPr="004B3821">
              <w:t>predseda o.z. VMNM</w:t>
            </w:r>
            <w:r>
              <w:t xml:space="preserve">                                                              </w:t>
            </w:r>
          </w:p>
        </w:tc>
        <w:tc>
          <w:tcPr>
            <w:tcW w:w="4531" w:type="dxa"/>
          </w:tcPr>
          <w:p w14:paraId="16308B23" w14:textId="77777777" w:rsidR="006F5471" w:rsidRDefault="006F5471" w:rsidP="006F5471">
            <w:pPr>
              <w:jc w:val="center"/>
            </w:pPr>
            <w:r>
              <w:t xml:space="preserve">plk. v.v. Ing. Ján Paulech, v. r. </w:t>
            </w:r>
          </w:p>
          <w:p w14:paraId="168A8AB5" w14:textId="5F568246" w:rsidR="006F5471" w:rsidRDefault="006F5471" w:rsidP="006F5471">
            <w:pPr>
              <w:jc w:val="center"/>
              <w:rPr>
                <w:noProof/>
              </w:rPr>
            </w:pPr>
            <w:r>
              <w:t>štaturár Zväzu vojakov SR</w:t>
            </w:r>
          </w:p>
        </w:tc>
      </w:tr>
      <w:tr w:rsidR="00E408D9" w14:paraId="375B4F0D" w14:textId="77777777" w:rsidTr="003C27DB">
        <w:tc>
          <w:tcPr>
            <w:tcW w:w="4531" w:type="dxa"/>
          </w:tcPr>
          <w:p w14:paraId="3D703016" w14:textId="77777777" w:rsidR="00E408D9" w:rsidRDefault="00E408D9" w:rsidP="00E408D9">
            <w:pPr>
              <w:jc w:val="both"/>
            </w:pPr>
          </w:p>
        </w:tc>
        <w:tc>
          <w:tcPr>
            <w:tcW w:w="4531" w:type="dxa"/>
          </w:tcPr>
          <w:p w14:paraId="2BC662D0" w14:textId="77777777" w:rsidR="00E408D9" w:rsidRDefault="00E408D9" w:rsidP="00E408D9">
            <w:pPr>
              <w:jc w:val="both"/>
            </w:pPr>
          </w:p>
          <w:p w14:paraId="13F19E87" w14:textId="617049A6" w:rsidR="003C27DB" w:rsidRDefault="003C27DB" w:rsidP="00E408D9">
            <w:pPr>
              <w:jc w:val="both"/>
            </w:pPr>
          </w:p>
        </w:tc>
      </w:tr>
      <w:tr w:rsidR="00E408D9" w14:paraId="39D9EB66" w14:textId="77777777" w:rsidTr="003C27DB">
        <w:tc>
          <w:tcPr>
            <w:tcW w:w="4531" w:type="dxa"/>
          </w:tcPr>
          <w:p w14:paraId="44F46D6E" w14:textId="726E75F6" w:rsidR="00A36318" w:rsidRDefault="00A36318" w:rsidP="006F5471">
            <w:pPr>
              <w:jc w:val="center"/>
            </w:pPr>
          </w:p>
        </w:tc>
        <w:tc>
          <w:tcPr>
            <w:tcW w:w="4531" w:type="dxa"/>
          </w:tcPr>
          <w:p w14:paraId="7016E847" w14:textId="12B059B4" w:rsidR="006F5471" w:rsidRDefault="006F5471" w:rsidP="006F5471">
            <w:pPr>
              <w:jc w:val="center"/>
            </w:pPr>
          </w:p>
        </w:tc>
      </w:tr>
      <w:tr w:rsidR="006F5471" w14:paraId="247157B6" w14:textId="77777777" w:rsidTr="003C27DB">
        <w:tc>
          <w:tcPr>
            <w:tcW w:w="4531" w:type="dxa"/>
          </w:tcPr>
          <w:p w14:paraId="7D084DC9" w14:textId="77777777" w:rsidR="006F5471" w:rsidRDefault="006F5471" w:rsidP="006F5471">
            <w:pPr>
              <w:jc w:val="center"/>
            </w:pPr>
            <w:r>
              <w:t>genmjr. v.v. Ing. František BLANÁRIK, v.r.</w:t>
            </w:r>
          </w:p>
          <w:p w14:paraId="76E45209" w14:textId="429D1CB8" w:rsidR="006F5471" w:rsidRDefault="006F5471" w:rsidP="006F5471">
            <w:pPr>
              <w:jc w:val="center"/>
              <w:rPr>
                <w:noProof/>
              </w:rPr>
            </w:pPr>
            <w:r>
              <w:t>predseda Klubu generálov SR</w:t>
            </w:r>
          </w:p>
        </w:tc>
        <w:tc>
          <w:tcPr>
            <w:tcW w:w="4531" w:type="dxa"/>
          </w:tcPr>
          <w:p w14:paraId="2A143BF1" w14:textId="77777777" w:rsidR="006F5471" w:rsidRDefault="006F5471" w:rsidP="006F5471">
            <w:pPr>
              <w:jc w:val="center"/>
            </w:pPr>
            <w:r>
              <w:t>plk. Ing. Joraslav GOFJÁR, MSc., v. r.</w:t>
            </w:r>
          </w:p>
          <w:p w14:paraId="2133745B" w14:textId="77777777" w:rsidR="006F5471" w:rsidRDefault="006F5471" w:rsidP="006F5471">
            <w:pPr>
              <w:jc w:val="center"/>
            </w:pPr>
            <w:r>
              <w:t>predseda ABSD</w:t>
            </w:r>
          </w:p>
          <w:p w14:paraId="1644A05B" w14:textId="77777777" w:rsidR="001115BA" w:rsidRDefault="001115BA" w:rsidP="006F5471">
            <w:pPr>
              <w:jc w:val="center"/>
              <w:rPr>
                <w:noProof/>
              </w:rPr>
            </w:pPr>
          </w:p>
          <w:p w14:paraId="6252D91F" w14:textId="77777777" w:rsidR="001115BA" w:rsidRDefault="001115BA" w:rsidP="006F5471">
            <w:pPr>
              <w:jc w:val="center"/>
              <w:rPr>
                <w:noProof/>
              </w:rPr>
            </w:pPr>
          </w:p>
          <w:p w14:paraId="4FBD81A4" w14:textId="77777777" w:rsidR="001115BA" w:rsidRDefault="001115BA" w:rsidP="006F5471">
            <w:pPr>
              <w:jc w:val="center"/>
              <w:rPr>
                <w:noProof/>
              </w:rPr>
            </w:pPr>
          </w:p>
          <w:p w14:paraId="47EAE80E" w14:textId="77777777" w:rsidR="001115BA" w:rsidRDefault="001115BA" w:rsidP="006F5471">
            <w:pPr>
              <w:jc w:val="center"/>
              <w:rPr>
                <w:noProof/>
              </w:rPr>
            </w:pPr>
          </w:p>
          <w:p w14:paraId="21AA65A5" w14:textId="77777777" w:rsidR="001115BA" w:rsidRDefault="001115BA" w:rsidP="006F5471">
            <w:pPr>
              <w:jc w:val="center"/>
              <w:rPr>
                <w:noProof/>
              </w:rPr>
            </w:pPr>
          </w:p>
          <w:p w14:paraId="302C0966" w14:textId="19D5299F" w:rsidR="001115BA" w:rsidRDefault="001115BA" w:rsidP="006F5471">
            <w:pPr>
              <w:jc w:val="center"/>
              <w:rPr>
                <w:noProof/>
              </w:rPr>
            </w:pPr>
          </w:p>
        </w:tc>
      </w:tr>
      <w:tr w:rsidR="00E408D9" w14:paraId="02DEF801" w14:textId="77777777" w:rsidTr="003C27DB">
        <w:tc>
          <w:tcPr>
            <w:tcW w:w="4531" w:type="dxa"/>
          </w:tcPr>
          <w:p w14:paraId="7828686A" w14:textId="6D930526" w:rsidR="006F5471" w:rsidRDefault="006F5471" w:rsidP="003C27DB">
            <w:pPr>
              <w:jc w:val="center"/>
            </w:pPr>
            <w:r>
              <w:rPr>
                <w:noProof/>
              </w:rPr>
              <w:lastRenderedPageBreak/>
              <w:drawing>
                <wp:inline distT="0" distB="0" distL="0" distR="0" wp14:anchorId="3DB6950F" wp14:editId="556D04F1">
                  <wp:extent cx="885600" cy="792000"/>
                  <wp:effectExtent l="0" t="0" r="0" b="8255"/>
                  <wp:docPr id="97" name="Obrázok 97" descr="UN-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VETERAN"/>
                          <pic:cNvPicPr>
                            <a:picLocks noChangeAspect="1" noChangeArrowheads="1"/>
                          </pic:cNvPicPr>
                        </pic:nvPicPr>
                        <pic:blipFill rotWithShape="1">
                          <a:blip r:embed="rId11">
                            <a:extLst>
                              <a:ext uri="{28A0092B-C50C-407E-A947-70E740481C1C}">
                                <a14:useLocalDpi xmlns:a14="http://schemas.microsoft.com/office/drawing/2010/main" val="0"/>
                              </a:ext>
                            </a:extLst>
                          </a:blip>
                          <a:srcRect r="62701"/>
                          <a:stretch/>
                        </pic:blipFill>
                        <pic:spPr bwMode="auto">
                          <a:xfrm>
                            <a:off x="0" y="0"/>
                            <a:ext cx="885600" cy="79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14:paraId="413AABD6" w14:textId="7D6C1545" w:rsidR="006F5471" w:rsidRDefault="0044040B" w:rsidP="003C27DB">
            <w:pPr>
              <w:jc w:val="center"/>
            </w:pPr>
            <w:r>
              <w:rPr>
                <w:noProof/>
              </w:rPr>
              <w:drawing>
                <wp:inline distT="0" distB="0" distL="0" distR="0" wp14:anchorId="79EF1CD2" wp14:editId="3678FF8A">
                  <wp:extent cx="619200" cy="882000"/>
                  <wp:effectExtent l="0" t="0" r="0" b="0"/>
                  <wp:docPr id="2" name="Obrázok 2" descr="O nás - Vojenský veterán Brati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nás - Vojenský veterán Bratisla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200" cy="882000"/>
                          </a:xfrm>
                          <a:prstGeom prst="rect">
                            <a:avLst/>
                          </a:prstGeom>
                          <a:noFill/>
                          <a:ln>
                            <a:noFill/>
                          </a:ln>
                        </pic:spPr>
                      </pic:pic>
                    </a:graphicData>
                  </a:graphic>
                </wp:inline>
              </w:drawing>
            </w:r>
          </w:p>
        </w:tc>
      </w:tr>
      <w:tr w:rsidR="00E408D9" w14:paraId="27AE3D3B" w14:textId="77777777" w:rsidTr="003C27DB">
        <w:tc>
          <w:tcPr>
            <w:tcW w:w="4531" w:type="dxa"/>
          </w:tcPr>
          <w:p w14:paraId="779ED09B" w14:textId="77777777" w:rsidR="003C27DB" w:rsidRDefault="003C27DB" w:rsidP="003C27DB">
            <w:pPr>
              <w:jc w:val="center"/>
            </w:pPr>
            <w:r>
              <w:t>plk. v.v. Ing. Štefan JANGL, PhD., v. r.</w:t>
            </w:r>
          </w:p>
          <w:p w14:paraId="3EDCE7E0" w14:textId="22B5B71B" w:rsidR="00E408D9" w:rsidRDefault="003C27DB" w:rsidP="003C27DB">
            <w:pPr>
              <w:jc w:val="center"/>
            </w:pPr>
            <w:r>
              <w:t>prezident UN VETERAN SLOVAKIA</w:t>
            </w:r>
          </w:p>
        </w:tc>
        <w:tc>
          <w:tcPr>
            <w:tcW w:w="4531" w:type="dxa"/>
          </w:tcPr>
          <w:p w14:paraId="7CA42AA1" w14:textId="01B7A53A" w:rsidR="00E408D9" w:rsidRDefault="0044040B" w:rsidP="003C27DB">
            <w:pPr>
              <w:jc w:val="center"/>
            </w:pPr>
            <w:r>
              <w:t xml:space="preserve">plk. v.v. Ing. Ladislav BALLA, v. r. </w:t>
            </w:r>
          </w:p>
          <w:p w14:paraId="3BB847FB" w14:textId="7A318C86" w:rsidR="0044040B" w:rsidRDefault="0044040B" w:rsidP="003C27DB">
            <w:pPr>
              <w:jc w:val="center"/>
            </w:pPr>
            <w:r>
              <w:t xml:space="preserve">Vojenský veterán Bratislava - predseda </w:t>
            </w:r>
          </w:p>
        </w:tc>
      </w:tr>
      <w:tr w:rsidR="00E408D9" w14:paraId="200728BE" w14:textId="77777777" w:rsidTr="003C27DB">
        <w:tc>
          <w:tcPr>
            <w:tcW w:w="4531" w:type="dxa"/>
          </w:tcPr>
          <w:p w14:paraId="626FBA20" w14:textId="77777777" w:rsidR="00E408D9" w:rsidRDefault="00E408D9" w:rsidP="00E408D9">
            <w:pPr>
              <w:jc w:val="both"/>
            </w:pPr>
          </w:p>
        </w:tc>
        <w:tc>
          <w:tcPr>
            <w:tcW w:w="4531" w:type="dxa"/>
          </w:tcPr>
          <w:p w14:paraId="73445894" w14:textId="77777777" w:rsidR="00E408D9" w:rsidRDefault="00E408D9" w:rsidP="00E408D9">
            <w:pPr>
              <w:jc w:val="both"/>
            </w:pPr>
          </w:p>
        </w:tc>
      </w:tr>
      <w:tr w:rsidR="00E408D9" w14:paraId="716A50F2" w14:textId="77777777" w:rsidTr="003C27DB">
        <w:tc>
          <w:tcPr>
            <w:tcW w:w="4531" w:type="dxa"/>
          </w:tcPr>
          <w:p w14:paraId="4DB2C7FB" w14:textId="77777777" w:rsidR="00E408D9" w:rsidRDefault="00E408D9" w:rsidP="00E408D9">
            <w:pPr>
              <w:jc w:val="both"/>
            </w:pPr>
          </w:p>
        </w:tc>
        <w:tc>
          <w:tcPr>
            <w:tcW w:w="4531" w:type="dxa"/>
          </w:tcPr>
          <w:p w14:paraId="5EAEC28C" w14:textId="77777777" w:rsidR="00E408D9" w:rsidRDefault="00E408D9" w:rsidP="00E408D9">
            <w:pPr>
              <w:jc w:val="both"/>
            </w:pPr>
          </w:p>
        </w:tc>
      </w:tr>
      <w:tr w:rsidR="00E408D9" w14:paraId="3F37032E" w14:textId="77777777" w:rsidTr="003C27DB">
        <w:tc>
          <w:tcPr>
            <w:tcW w:w="4531" w:type="dxa"/>
          </w:tcPr>
          <w:p w14:paraId="16B036D2" w14:textId="77777777" w:rsidR="00E408D9" w:rsidRDefault="00E408D9" w:rsidP="00E408D9">
            <w:pPr>
              <w:jc w:val="both"/>
            </w:pPr>
          </w:p>
        </w:tc>
        <w:tc>
          <w:tcPr>
            <w:tcW w:w="4531" w:type="dxa"/>
          </w:tcPr>
          <w:p w14:paraId="0133E724" w14:textId="77777777" w:rsidR="00E408D9" w:rsidRDefault="00E408D9" w:rsidP="00E408D9">
            <w:pPr>
              <w:jc w:val="both"/>
            </w:pPr>
          </w:p>
        </w:tc>
      </w:tr>
    </w:tbl>
    <w:p w14:paraId="274FB48E" w14:textId="300AAD6E" w:rsidR="00E408D9" w:rsidRDefault="003C27DB" w:rsidP="00E408D9">
      <w:pPr>
        <w:jc w:val="both"/>
      </w:pPr>
      <w:r>
        <w:tab/>
      </w:r>
      <w:r>
        <w:tab/>
      </w:r>
      <w:r>
        <w:tab/>
      </w:r>
      <w:r>
        <w:tab/>
      </w:r>
      <w:r>
        <w:tab/>
      </w:r>
      <w:r>
        <w:tab/>
      </w:r>
      <w:r>
        <w:rPr>
          <w:noProof/>
        </w:rPr>
        <w:drawing>
          <wp:inline distT="0" distB="0" distL="0" distR="0" wp14:anchorId="24AC104E" wp14:editId="77FA54C7">
            <wp:extent cx="648000" cy="850626"/>
            <wp:effectExtent l="0" t="0" r="0" b="698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00" cy="850626"/>
                    </a:xfrm>
                    <a:prstGeom prst="rect">
                      <a:avLst/>
                    </a:prstGeom>
                    <a:noFill/>
                    <a:ln>
                      <a:noFill/>
                    </a:ln>
                  </pic:spPr>
                </pic:pic>
              </a:graphicData>
            </a:graphic>
          </wp:inline>
        </w:drawing>
      </w:r>
    </w:p>
    <w:p w14:paraId="1F8E2650" w14:textId="76BAC7BF" w:rsidR="00B03575" w:rsidRDefault="00B03575" w:rsidP="00B03575">
      <w:pPr>
        <w:jc w:val="both"/>
      </w:pPr>
      <w:r>
        <w:t>Za správnosť vyhotovenia: plk. v.v. Ing. Stanislav ŠIMON</w:t>
      </w:r>
    </w:p>
    <w:p w14:paraId="2B4129A5" w14:textId="7DE7730C" w:rsidR="00B03575" w:rsidRDefault="00B03575" w:rsidP="002A701E">
      <w:pPr>
        <w:ind w:firstLine="284"/>
        <w:jc w:val="both"/>
      </w:pPr>
    </w:p>
    <w:p w14:paraId="33357C39" w14:textId="25EB654F" w:rsidR="00B03575" w:rsidRDefault="00B03575" w:rsidP="002A701E">
      <w:pPr>
        <w:ind w:firstLine="284"/>
        <w:jc w:val="both"/>
      </w:pPr>
    </w:p>
    <w:p w14:paraId="4356EF1F" w14:textId="782B214A" w:rsidR="00821A44" w:rsidRDefault="00821A44" w:rsidP="00821A44">
      <w:r w:rsidRPr="00F323E8">
        <w:rPr>
          <w:rFonts w:ascii="Calibri" w:hAnsi="Calibri" w:cs="Calibri"/>
          <w:color w:val="FF0000"/>
        </w:rPr>
        <w:tab/>
      </w:r>
      <w:r w:rsidRPr="00340458">
        <w:rPr>
          <w:rFonts w:ascii="Calibri" w:hAnsi="Calibri" w:cs="Calibri"/>
          <w:color w:val="FF0000"/>
        </w:rPr>
        <w:tab/>
      </w:r>
      <w:r w:rsidRPr="00340458">
        <w:rPr>
          <w:rFonts w:ascii="Calibri" w:hAnsi="Calibri" w:cs="Calibri"/>
          <w:color w:val="FF0000"/>
        </w:rPr>
        <w:tab/>
      </w:r>
      <w:r w:rsidRPr="00340458">
        <w:rPr>
          <w:rFonts w:ascii="Calibri" w:hAnsi="Calibri" w:cs="Calibri"/>
          <w:color w:val="FF0000"/>
        </w:rPr>
        <w:tab/>
      </w:r>
    </w:p>
    <w:sectPr w:rsidR="00821A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F520" w14:textId="77777777" w:rsidR="00D93C15" w:rsidRDefault="00D93C15" w:rsidP="00F4675B">
      <w:r>
        <w:separator/>
      </w:r>
    </w:p>
  </w:endnote>
  <w:endnote w:type="continuationSeparator" w:id="0">
    <w:p w14:paraId="58C4704D" w14:textId="77777777" w:rsidR="00D93C15" w:rsidRDefault="00D93C15" w:rsidP="00F4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2BA2" w14:textId="77777777" w:rsidR="00F4675B" w:rsidRDefault="00F4675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99716"/>
      <w:docPartObj>
        <w:docPartGallery w:val="Page Numbers (Bottom of Page)"/>
        <w:docPartUnique/>
      </w:docPartObj>
    </w:sdtPr>
    <w:sdtEndPr/>
    <w:sdtContent>
      <w:p w14:paraId="39185C65" w14:textId="116967F1" w:rsidR="00F4675B" w:rsidRDefault="00F4675B">
        <w:pPr>
          <w:pStyle w:val="Pta"/>
          <w:jc w:val="center"/>
        </w:pPr>
        <w:r>
          <w:fldChar w:fldCharType="begin"/>
        </w:r>
        <w:r>
          <w:instrText>PAGE   \* MERGEFORMAT</w:instrText>
        </w:r>
        <w:r>
          <w:fldChar w:fldCharType="separate"/>
        </w:r>
        <w:r w:rsidR="000764A8">
          <w:rPr>
            <w:noProof/>
          </w:rPr>
          <w:t>9</w:t>
        </w:r>
        <w:r>
          <w:fldChar w:fldCharType="end"/>
        </w:r>
      </w:p>
    </w:sdtContent>
  </w:sdt>
  <w:p w14:paraId="60E1738C" w14:textId="77777777" w:rsidR="00F4675B" w:rsidRDefault="00F4675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67CF" w14:textId="77777777" w:rsidR="00F4675B" w:rsidRDefault="00F467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6014" w14:textId="77777777" w:rsidR="00D93C15" w:rsidRDefault="00D93C15" w:rsidP="00F4675B">
      <w:r>
        <w:separator/>
      </w:r>
    </w:p>
  </w:footnote>
  <w:footnote w:type="continuationSeparator" w:id="0">
    <w:p w14:paraId="42DC4E8B" w14:textId="77777777" w:rsidR="00D93C15" w:rsidRDefault="00D93C15" w:rsidP="00F46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AFBC8" w14:textId="77777777" w:rsidR="00F4675B" w:rsidRDefault="00F467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9513" w14:textId="77777777" w:rsidR="00F4675B" w:rsidRDefault="00F4675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D7B5" w14:textId="77777777" w:rsidR="00F4675B" w:rsidRDefault="00F467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78A"/>
    <w:multiLevelType w:val="hybridMultilevel"/>
    <w:tmpl w:val="E56CD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AD52525"/>
    <w:multiLevelType w:val="hybridMultilevel"/>
    <w:tmpl w:val="E9026EA0"/>
    <w:lvl w:ilvl="0" w:tplc="41E8DD4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44"/>
    <w:rsid w:val="000764A8"/>
    <w:rsid w:val="000D461F"/>
    <w:rsid w:val="001115BA"/>
    <w:rsid w:val="00156AA9"/>
    <w:rsid w:val="001C7B1A"/>
    <w:rsid w:val="002A22F1"/>
    <w:rsid w:val="002A701E"/>
    <w:rsid w:val="002B3F5B"/>
    <w:rsid w:val="003567BC"/>
    <w:rsid w:val="003C27DB"/>
    <w:rsid w:val="0044040B"/>
    <w:rsid w:val="004B3821"/>
    <w:rsid w:val="004E2851"/>
    <w:rsid w:val="0059014F"/>
    <w:rsid w:val="00594D65"/>
    <w:rsid w:val="005B4835"/>
    <w:rsid w:val="005B7393"/>
    <w:rsid w:val="005C21F9"/>
    <w:rsid w:val="006230AA"/>
    <w:rsid w:val="00633C64"/>
    <w:rsid w:val="00652327"/>
    <w:rsid w:val="00673ADA"/>
    <w:rsid w:val="00677D03"/>
    <w:rsid w:val="006F5471"/>
    <w:rsid w:val="00724883"/>
    <w:rsid w:val="007940A8"/>
    <w:rsid w:val="007A45E2"/>
    <w:rsid w:val="007C2B20"/>
    <w:rsid w:val="007E1D17"/>
    <w:rsid w:val="007F57E9"/>
    <w:rsid w:val="007F600C"/>
    <w:rsid w:val="00821A44"/>
    <w:rsid w:val="00825A1B"/>
    <w:rsid w:val="00877E92"/>
    <w:rsid w:val="008D06AC"/>
    <w:rsid w:val="008D7E34"/>
    <w:rsid w:val="00915DF5"/>
    <w:rsid w:val="00957E1A"/>
    <w:rsid w:val="0097133C"/>
    <w:rsid w:val="00971586"/>
    <w:rsid w:val="009A1AC2"/>
    <w:rsid w:val="009F3F7B"/>
    <w:rsid w:val="00A07014"/>
    <w:rsid w:val="00A11E0B"/>
    <w:rsid w:val="00A33C14"/>
    <w:rsid w:val="00A36318"/>
    <w:rsid w:val="00A62A02"/>
    <w:rsid w:val="00A64143"/>
    <w:rsid w:val="00A72A05"/>
    <w:rsid w:val="00AB01AA"/>
    <w:rsid w:val="00B03575"/>
    <w:rsid w:val="00BA38F1"/>
    <w:rsid w:val="00BC7B95"/>
    <w:rsid w:val="00BF47EA"/>
    <w:rsid w:val="00C82FCC"/>
    <w:rsid w:val="00C86D51"/>
    <w:rsid w:val="00D61BE0"/>
    <w:rsid w:val="00D90A83"/>
    <w:rsid w:val="00D93C15"/>
    <w:rsid w:val="00DA240B"/>
    <w:rsid w:val="00DD1B50"/>
    <w:rsid w:val="00E1585C"/>
    <w:rsid w:val="00E408D9"/>
    <w:rsid w:val="00E863A4"/>
    <w:rsid w:val="00EB03B8"/>
    <w:rsid w:val="00ED75F7"/>
    <w:rsid w:val="00F323E8"/>
    <w:rsid w:val="00F4675B"/>
    <w:rsid w:val="00F558EC"/>
    <w:rsid w:val="00FB1CB7"/>
    <w:rsid w:val="00FD102B"/>
    <w:rsid w:val="00FD48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76C0"/>
  <w15:chartTrackingRefBased/>
  <w15:docId w15:val="{C8051389-6FE3-498F-85A0-9C858C02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1A4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21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821A44"/>
    <w:pPr>
      <w:spacing w:before="100" w:beforeAutospacing="1" w:after="100" w:afterAutospacing="1"/>
    </w:pPr>
  </w:style>
  <w:style w:type="paragraph" w:styleId="Bezriadkovania">
    <w:name w:val="No Spacing"/>
    <w:uiPriority w:val="1"/>
    <w:qFormat/>
    <w:rsid w:val="00821A44"/>
    <w:pPr>
      <w:spacing w:after="0" w:line="240" w:lineRule="auto"/>
    </w:pPr>
    <w:rPr>
      <w:rFonts w:ascii="Calibri" w:eastAsia="Calibri" w:hAnsi="Calibri" w:cs="Times New Roman"/>
    </w:rPr>
  </w:style>
  <w:style w:type="character" w:styleId="Zvraznenie">
    <w:name w:val="Emphasis"/>
    <w:uiPriority w:val="20"/>
    <w:qFormat/>
    <w:rsid w:val="00821A44"/>
    <w:rPr>
      <w:i/>
      <w:iCs/>
    </w:rPr>
  </w:style>
  <w:style w:type="character" w:customStyle="1" w:styleId="awspan">
    <w:name w:val="awspan"/>
    <w:rsid w:val="00821A44"/>
  </w:style>
  <w:style w:type="paragraph" w:styleId="Hlavika">
    <w:name w:val="header"/>
    <w:basedOn w:val="Normlny"/>
    <w:link w:val="HlavikaChar"/>
    <w:rsid w:val="007F600C"/>
    <w:pPr>
      <w:tabs>
        <w:tab w:val="center" w:pos="4536"/>
        <w:tab w:val="right" w:pos="9072"/>
      </w:tabs>
    </w:pPr>
    <w:rPr>
      <w:lang w:val="x-none" w:eastAsia="x-none"/>
    </w:rPr>
  </w:style>
  <w:style w:type="character" w:customStyle="1" w:styleId="HlavikaChar">
    <w:name w:val="Hlavička Char"/>
    <w:basedOn w:val="Predvolenpsmoodseku"/>
    <w:link w:val="Hlavika"/>
    <w:rsid w:val="007F600C"/>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9A1AC2"/>
    <w:pPr>
      <w:ind w:left="720"/>
      <w:contextualSpacing/>
    </w:pPr>
  </w:style>
  <w:style w:type="paragraph" w:styleId="Textbubliny">
    <w:name w:val="Balloon Text"/>
    <w:basedOn w:val="Normlny"/>
    <w:link w:val="TextbublinyChar"/>
    <w:uiPriority w:val="99"/>
    <w:semiHidden/>
    <w:unhideWhenUsed/>
    <w:rsid w:val="00F4675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675B"/>
    <w:rPr>
      <w:rFonts w:ascii="Segoe UI" w:eastAsia="Times New Roman" w:hAnsi="Segoe UI" w:cs="Segoe UI"/>
      <w:sz w:val="18"/>
      <w:szCs w:val="18"/>
      <w:lang w:eastAsia="sk-SK"/>
    </w:rPr>
  </w:style>
  <w:style w:type="paragraph" w:styleId="Pta">
    <w:name w:val="footer"/>
    <w:basedOn w:val="Normlny"/>
    <w:link w:val="PtaChar"/>
    <w:uiPriority w:val="99"/>
    <w:unhideWhenUsed/>
    <w:rsid w:val="00F4675B"/>
    <w:pPr>
      <w:tabs>
        <w:tab w:val="center" w:pos="4536"/>
        <w:tab w:val="right" w:pos="9072"/>
      </w:tabs>
    </w:pPr>
  </w:style>
  <w:style w:type="character" w:customStyle="1" w:styleId="PtaChar">
    <w:name w:val="Päta Char"/>
    <w:basedOn w:val="Predvolenpsmoodseku"/>
    <w:link w:val="Pta"/>
    <w:uiPriority w:val="99"/>
    <w:rsid w:val="00F4675B"/>
    <w:rPr>
      <w:rFonts w:ascii="Times New Roman" w:eastAsia="Times New Roman" w:hAnsi="Times New Roman" w:cs="Times New Roman"/>
      <w:sz w:val="24"/>
      <w:szCs w:val="24"/>
      <w:lang w:eastAsia="sk-SK"/>
    </w:rPr>
  </w:style>
  <w:style w:type="character" w:customStyle="1" w:styleId="normaltext">
    <w:name w:val="normal_text"/>
    <w:basedOn w:val="Predvolenpsmoodseku"/>
    <w:rsid w:val="006F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3766">
      <w:bodyDiv w:val="1"/>
      <w:marLeft w:val="0"/>
      <w:marRight w:val="0"/>
      <w:marTop w:val="0"/>
      <w:marBottom w:val="0"/>
      <w:divBdr>
        <w:top w:val="none" w:sz="0" w:space="0" w:color="auto"/>
        <w:left w:val="none" w:sz="0" w:space="0" w:color="auto"/>
        <w:bottom w:val="none" w:sz="0" w:space="0" w:color="auto"/>
        <w:right w:val="none" w:sz="0" w:space="0" w:color="auto"/>
      </w:divBdr>
      <w:divsChild>
        <w:div w:id="172740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4360</Words>
  <Characters>24853</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 Simon</dc:creator>
  <cp:keywords/>
  <dc:description/>
  <cp:lastModifiedBy>Používateľ systému Windows</cp:lastModifiedBy>
  <cp:revision>2</cp:revision>
  <cp:lastPrinted>2021-04-27T14:02:00Z</cp:lastPrinted>
  <dcterms:created xsi:type="dcterms:W3CDTF">2021-04-30T13:42:00Z</dcterms:created>
  <dcterms:modified xsi:type="dcterms:W3CDTF">2021-04-30T13:42:00Z</dcterms:modified>
</cp:coreProperties>
</file>